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D1169">
      <w:pPr>
        <w:widowControl/>
        <w:wordWrap w:val="0"/>
        <w:spacing w:before="100" w:beforeAutospacing="1" w:after="100" w:afterAutospacing="1" w:line="600" w:lineRule="exact"/>
        <w:jc w:val="center"/>
        <w:rPr>
          <w:rFonts w:hint="eastAsia" w:ascii="方正小标宋_GBK" w:hAnsi="宋体" w:eastAsia="方正小标宋_GBK" w:cs="宋体"/>
          <w:color w:val="000000"/>
          <w:kern w:val="0"/>
          <w:sz w:val="44"/>
          <w:szCs w:val="44"/>
        </w:rPr>
      </w:pPr>
      <w:bookmarkStart w:id="0" w:name="_GoBack"/>
      <w:bookmarkEnd w:id="0"/>
      <w:r>
        <w:rPr>
          <w:rFonts w:hint="eastAsia" w:ascii="方正小标宋_GBK" w:hAnsi="宋体" w:eastAsia="方正小标宋_GBK" w:cs="宋体"/>
          <w:color w:val="000000"/>
          <w:kern w:val="0"/>
          <w:sz w:val="44"/>
          <w:szCs w:val="44"/>
        </w:rPr>
        <w:t>无源植入性医疗器械产品注册申报资料</w:t>
      </w:r>
    </w:p>
    <w:p w14:paraId="251A6897">
      <w:pPr>
        <w:widowControl/>
        <w:wordWrap w:val="0"/>
        <w:spacing w:before="100" w:beforeAutospacing="1" w:after="100" w:afterAutospacing="1" w:line="600" w:lineRule="exact"/>
        <w:jc w:val="center"/>
        <w:rPr>
          <w:rFonts w:hint="eastAsia"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指导原则</w:t>
      </w:r>
    </w:p>
    <w:p w14:paraId="6F8F86DC">
      <w:pPr>
        <w:widowControl/>
        <w:wordWrap w:val="0"/>
        <w:spacing w:before="100" w:beforeAutospacing="1" w:after="100" w:afterAutospacing="1" w:line="301" w:lineRule="atLeas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一、前言</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无源植入性医疗器械是由各种生物医用材料加工而成的产品，且大多风险高、生产工艺复杂，涉及多学科领域。该类医疗器械在注册时需要提供较多的技术支持性资料。为了进一步明确对无源植入性医疗器械产品注册申报资料的要求，指导申请人/制造商对该类医疗器械的注册申报资料进行准备，特制订本指导原则。</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本指导原则系对无源植入性医疗器械的一般要求，除适用于一般意义上的无源植入性医疗器械外，还适用于与人体的骨、组织、组织液或血液接触，且符合以下两个条件或其中之一的医疗器械：一是接触时间大于30天；二是由可吸收/可沥滤材料制成。本指导原则未涉及动物源性医疗器械、含药医疗器械等产品的具体要求，对于这些产品注册申报资料的撰写，还需参见相关的指导原则。申请人/制造商应依据具体产品的特性对注册申报资料的内容进行充实和细化，并依据具体产品的特性确定其中的具体内容是否适用。若不适用，应详细阐述其理由及相应的科学依据。</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本指导原则系对申请人/制造商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本指导原则是在现行法规和标准体系以及当前认知水平下制订的，随着法规和标准的不断完善，以及科学技术的不断发展，本指导原则相关内容也将进行适时的调整。</w:t>
      </w:r>
    </w:p>
    <w:p w14:paraId="460D3635">
      <w:pPr>
        <w:widowControl/>
        <w:wordWrap w:val="0"/>
        <w:spacing w:before="100" w:beforeAutospacing="1" w:after="100" w:afterAutospacing="1" w:line="301" w:lineRule="atLeas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二、适用范围</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本指导原则适用于无源植入性医疗器械产品的注册申报。</w:t>
      </w:r>
    </w:p>
    <w:p w14:paraId="48207743">
      <w:pPr>
        <w:widowControl/>
        <w:wordWrap w:val="0"/>
        <w:spacing w:before="100" w:beforeAutospacing="1" w:after="100" w:afterAutospacing="1" w:line="301" w:lineRule="atLeas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三、基本要求</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（一）境内无源植入性医疗器械产品注册申报资料要求</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　　在按照《境内第三类、境外医疗器械注册申报资料受理标准》（国食药监械〔2005〕111号）对注册申报资料形式要求的基础上，建议申请人/制造商在产品技术报告、风险分析报告等技术文件中附加目录，并在正文中编写页码；根据有关要求，申请人/制造商在注册申报时除按要求提交其他注册申报资料外，须同时提交两份注册产品标准，建议将该两份注册产品标准独立装订；涉及到的证明文件、试验报告、参考文献文本等可作为附件提交。</w:t>
      </w:r>
    </w:p>
    <w:tbl>
      <w:tblPr>
        <w:tblStyle w:val="9"/>
        <w:tblW w:w="5000" w:type="pct"/>
        <w:tblInd w:w="0" w:type="dxa"/>
        <w:tblLayout w:type="autofit"/>
        <w:tblCellMar>
          <w:top w:w="0" w:type="dxa"/>
          <w:left w:w="0" w:type="dxa"/>
          <w:bottom w:w="0" w:type="dxa"/>
          <w:right w:w="0" w:type="dxa"/>
        </w:tblCellMar>
      </w:tblPr>
      <w:tblGrid>
        <w:gridCol w:w="8306"/>
      </w:tblGrid>
      <w:tr w14:paraId="75CE2894">
        <w:tc>
          <w:tcPr>
            <w:tcW w:w="0" w:type="auto"/>
            <w:tcMar>
              <w:top w:w="215" w:type="dxa"/>
              <w:left w:w="0" w:type="dxa"/>
              <w:bottom w:w="0" w:type="dxa"/>
              <w:right w:w="0" w:type="dxa"/>
            </w:tcMar>
            <w:vAlign w:val="center"/>
          </w:tcPr>
          <w:p w14:paraId="059D57ED">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1．技术报告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（1）国内外同类产品动态分析，包括国内外同类产品的上市情况及与申报产品在工作原理、原材料、预期用途等方面的对比情况,以便于全面了解同类产品的国内外发展状况。</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（2）对于首次用于医疗器械方面的新材料，应提供该材料适于人体使用的相关研究资料。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产品分类与产品命名是生产者对产品的品种、型号、规格、基本参数和尺寸进行科学的归并和合理的分档，使其最大限度地满足用户多种多样的需要，也便于制造商组织生产，并作为设计和选用产品的依据。为了便于管理部门全面掌握上述情况，合理判断产品分类和产品命名的科学性与规范性，应在产品技术报告中明确产品分类及产品名称，并提供分类依据及产品名称确定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4）植入人体的各种材料必须对人体是安全的，不能对人体组织、血液、免疫等系统产生不良反应。因此，材料生物相容性的优劣应是无源植入性医疗器械研究设计中首先考虑的重要问题。建议制造商在注册产品技术报告中提供有关技术资料，以便于管理部门全面掌握其对产品安全性进行评价的情况。具体包括：</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产品作用原理，预期与人体接触的部位（组织）、接触方式、作用时间（包括多量次产品的积累时间）；预期与人体最长接触时间的确定依据及相关研究资料；明确是否含可降解材料，若含，则提供可降解材料的降解周期和降解产物的相关研究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产品的所有组成材料（包括涂层、染料、黏合剂等）的基本信息,如:公认的材料化学名称、化学结构式/分子式、分子量、商品名/材料代号等，并提供所使用的原材料可用于生产医疗器械的支持性资料；若产品供货状态是保存在液体中，则提供保存液体的详细成分及含量信息，以及相关安全性评价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产品性能、结构（相应图示）与组成，应提供产品设计文件及相关研究性资料或文献资料；明确预期与人体接触的组成部分和材料；明确产品型号、规格间的异同点；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产品生产加工过程，包括各种加工工艺（注明关键工艺）、各种加工助剂的使用情况，对残留单体或小分子残留物的控制情况等；提供产品加工工艺的确定依据以及涉及到的研究性资料、文献资料等；</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对于使用前灭菌（消毒）的产品及可重复灭菌（消毒）的产品，应提供产品对推荐的灭菌（消毒）方法耐受性的支持性资料，及所推荐的灭菌（消毒）方法确定的依据。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5）产品有效期（货架寿命）确定依据。产品有效期的确定应该建立在科学试验的基础上，如稳定性试验，其目的是考察产品在温度、湿度、光线的影响下随时间变化的规律，为产品的生产、包装、贮存、运输条件提供科学依据，同时通过试验建立产品的有效期。因此，生产者在申报产品注册时应提供产品有效期（包括产品性能稳定性和无菌状态持续性的保证期限）的验证报告及内包装材料信息；若产品无有效期要求，也应当阐述无有效期要求的理由。</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（6）产品使用寿命的研究资料。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（7）制造商认为应在技术报告中提交的证明产品安全有效所必需的其他资料。</w:t>
            </w:r>
          </w:p>
          <w:p w14:paraId="2CDC97D6">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2．风险分析报告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根据YY/T 0316《医疗器械 风险管理对医疗器械的应用》，制造商应对产品原材料、生产加工过程、包装、灭菌、运输、贮存、使用等产品寿命周期的各个环节,从能量危害（若涉及）、生物学危害、环境危害、有关使用的危害以及由功能失效、维护及老化引起的危害等方面进行风险分析，详述所采取的风险控制措施。</w:t>
            </w:r>
          </w:p>
          <w:tbl>
            <w:tblPr>
              <w:tblStyle w:val="9"/>
              <w:tblW w:w="5000" w:type="pct"/>
              <w:tblInd w:w="0" w:type="dxa"/>
              <w:tblLayout w:type="autofit"/>
              <w:tblCellMar>
                <w:top w:w="0" w:type="dxa"/>
                <w:left w:w="0" w:type="dxa"/>
                <w:bottom w:w="0" w:type="dxa"/>
                <w:right w:w="0" w:type="dxa"/>
              </w:tblCellMar>
            </w:tblPr>
            <w:tblGrid>
              <w:gridCol w:w="8306"/>
            </w:tblGrid>
            <w:tr w14:paraId="023B2D1D">
              <w:tc>
                <w:tcPr>
                  <w:tcW w:w="0" w:type="auto"/>
                  <w:tcMar>
                    <w:top w:w="215" w:type="dxa"/>
                    <w:left w:w="0" w:type="dxa"/>
                    <w:bottom w:w="0" w:type="dxa"/>
                    <w:right w:w="0" w:type="dxa"/>
                  </w:tcMar>
                  <w:vAlign w:val="center"/>
                </w:tcPr>
                <w:p w14:paraId="42686FF0">
                  <w:pPr>
                    <w:widowControl/>
                    <w:wordWrap w:val="0"/>
                    <w:spacing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3．注册产品标准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（1）根据《医疗器械标准管理办法（试行）》的要求，注册产品标准应符合国家标准、行业标准和有关法律、法规的要求。在此基础上, 制造商应根据产品的特点制定保证产品安全有效、质量可控的技术要求。注册产品标准中技术要求及试验方法均应是已经过验证的。</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（2）注册产品标准应包括正文和标准编制说明。标准编制说明应包括下列内容：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与人体接触的材料是否已在临床上应用过，其安全性、可靠性是否得到证明；</w:t>
                  </w:r>
                  <w:r>
                    <w:rPr>
                      <w:rFonts w:ascii="宋体" w:hAnsi="宋体" w:eastAsia="宋体" w:cs="宋体"/>
                      <w:color w:val="000000"/>
                      <w:kern w:val="0"/>
                      <w:sz w:val="15"/>
                    </w:rPr>
                    <w:t> </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引用或参照的相关标准和资料；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管理类别确定的依据；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产品概述及主要技术条款确定的依据；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其他需要说明的内容。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（3）注册产品标准中，应明示产品使用原材料及各部件的组成成份，有材料牌号的，明确材料牌号；给出产品相应结构图示、详细的规格尺寸。</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（4）对于重新注册产品的注册产品标准，若制造商在原注册产品标准基础上进行了修订，制造商在申报产品重新注册时，应同时提供标准修订说明，在标准修订说明中明确修订的内容及修订依据。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有些重新注册产品，虽然产品设计和适用范围均未发生改变，但由于国家/行业标准通过注册产品标准的引用而成为注册产品标准的组成部分，随着这些国家/行业标准的更新，其注册产品标准亦应进行相应的更新。</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（5）申请人/制造商在申报过程中，按照补充资料通知单要求进行补充资料时，若对注册产品标准的内容进行了修订并提供了新版的注册产品标准，应同时提供说明标准变更前后对比情况的资料。</w:t>
                  </w:r>
                </w:p>
                <w:p w14:paraId="44686B3B">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4．临床试验资料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（1）根据《医疗器械临床试验规定》的要求提供临床试验资料。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（2）临床试验方案</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临床试验方案中应明确疗效评价指标，且应采用国际公认的评价标准，如果无公认标准，应采用临床常规疗效评价标准。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临床试验方案中试验样本量的确定应按照试验目的、试验类型（优效、非劣效、等效）确定并符合统计学要求，并应采用经典的、公认的统计方法、计算公式、统计软件（如：SAS、SPSS、SYSTAT）。</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为了保证得到科学、有效的疗效评价，应根据情况设置合理对照。</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为了保证临床试验的科学性，不建议采用文献数据及历史数据作为对照。</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试验组和对照组应采用统一的入选标准和排除标准，如为多中心临床试验，应按统一的方案进行试验。</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⑥ 试验组和对照组的临床观察及随访时间应相同。</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（3）临床试验报告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临床试验报告应与临床试验方案保持一致，尤其注意明确以下内容：试验产品的产品名称、型号、规格及所对应的试验病种和各个病种的病例数；各病例的随访时间；试验产品的临床适用范围/适应证、禁忌证与注意事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临床适用范围/适应证仅限于已进行临床试验并得出具有统计学意义结论的范围/病种。</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临床试验报告应明确所有病例是否全部完成随访，完成的随访病例是否均纳入统计。失访病例应明确失访原因。</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临床试验报告应提交参与疗效评价与安全性评价的统计过程中所涉及到的原始数据。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临床试验报告应报告所有不良事件发生的时间、发生的原因、结果及与试验器械的关系。对于所采取的措施应予以明确。</w:t>
                  </w:r>
                </w:p>
              </w:tc>
            </w:tr>
            <w:tr w14:paraId="251FCE40">
              <w:tblPrEx>
                <w:tblCellMar>
                  <w:top w:w="0" w:type="dxa"/>
                  <w:left w:w="0" w:type="dxa"/>
                  <w:bottom w:w="0" w:type="dxa"/>
                  <w:right w:w="0" w:type="dxa"/>
                </w:tblCellMar>
              </w:tblPrEx>
              <w:tc>
                <w:tcPr>
                  <w:tcW w:w="0" w:type="auto"/>
                  <w:vAlign w:val="center"/>
                </w:tcPr>
                <w:tbl>
                  <w:tblPr>
                    <w:tblStyle w:val="9"/>
                    <w:tblW w:w="5000" w:type="pct"/>
                    <w:tblInd w:w="0" w:type="dxa"/>
                    <w:tblLayout w:type="autofit"/>
                    <w:tblCellMar>
                      <w:top w:w="0" w:type="dxa"/>
                      <w:left w:w="0" w:type="dxa"/>
                      <w:bottom w:w="0" w:type="dxa"/>
                      <w:right w:w="0" w:type="dxa"/>
                    </w:tblCellMar>
                  </w:tblPr>
                  <w:tblGrid>
                    <w:gridCol w:w="8306"/>
                  </w:tblGrid>
                  <w:tr w14:paraId="2119102E">
                    <w:tc>
                      <w:tcPr>
                        <w:tcW w:w="0" w:type="auto"/>
                        <w:tcMar>
                          <w:top w:w="215" w:type="dxa"/>
                          <w:left w:w="0" w:type="dxa"/>
                          <w:bottom w:w="0" w:type="dxa"/>
                          <w:right w:w="0" w:type="dxa"/>
                        </w:tcMar>
                        <w:vAlign w:val="center"/>
                      </w:tcPr>
                      <w:p w14:paraId="4C3DC232">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5．产品说明书</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（1）根据《医疗器械说明书、标签和包装标识管理规定》的要求提供产品说明书。</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（2）产品临床适用范围/适应证、禁忌证、注意事项应与临床试验报告保持一致。</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（3）产品有效期限、使用寿命限制、从人体取出的期限、已采用的灭菌方法、推荐采用的灭菌（消毒）方法等信息应与产品技术报告所述一致。　　　　　　　　</w:t>
                        </w:r>
                      </w:p>
                      <w:p w14:paraId="19C3BC9B">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6．质量跟踪报告（适用于重新注册产品）</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为全面了解已注册产品临床使用情况，建议制造商在质量跟踪报告中提供以下信息：已注册产品市场销售情况，包括产品销售量，如果产品型号间差异较大时,应提供不同型号产品销售情况；根据产品临床适用范围/适应证详述产品上市后临床随访情况；详述产品上市后所有不良事件、投诉发生情况，对不良事件、投诉原因的分析与处理情况。</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（2）为了对重新注册产品的安全性和有效性做出科学合理的评价，建议制造商详细说明此次申请重新注册产品与原注册产品相比的任何变化情况，可能涉及但不限于以下几个方面：</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材料及材料供应商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加工工艺</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产品结构</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预期用途</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包装材料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⑥ 灭菌方式</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若存在任何一种涉及产品的技术性变化，则制造商应提交该变化是否会带来新风险的详细论证与评价资料。</w:t>
                        </w:r>
                      </w:p>
                      <w:p w14:paraId="6FA648A1">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7．其他</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医疗器械产品名称应规范。通用名称可以已发布的国家标准、行业标准以及《医疗器械产品分类目录》中的产品名称为依据。没有国家标准、行业标准以及《医疗器械产品分类目录》中无相应产品名称的产品，其命名应以体现产品技术结构特征、功能属性为基本原则，并应符合《医疗器械说明书、标签和包装标识管理规定》中有关规定。通用名称、商品名称、型号、规格的命名不应有重复之处，且申报资料中涉及产品名称、商品名称、型号、规格之处均应保持一致。</w:t>
                        </w:r>
                      </w:p>
                      <w:p w14:paraId="73DDDAC9">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（二）境外无源植入性医疗器械产品注册申报资料要求</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1．技术支持资料（适用于首次注册产品）</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为了对申请注册产品的安全性和有效性做出科学合理的评价，依据技术审评的需要，建议申请人/制造商在无源植入性医疗器械产品首次申请注册时提供产品境外上市批准时要求提交的技术支持资料（内容可参照境内产品注册申报资料中产品技术报告具体要求），作为境外上市批准文件的附件。技术支持资料应由境外产品制造商签章。</w:t>
                        </w:r>
                      </w:p>
                      <w:p w14:paraId="20294218">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2．注册产品标准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（1）根据《医疗器械标准管理办法（试行）》的要求，注册产品标准应符合国家标准、行业标准和有关法律、法规的要求。在此基础上, 制造商应根据产品的特点制定保证产品安全有效、质量可控的技术要求。注册产品标准中技术要求及试验方法均应是已经过验证的。</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（2）注册产品标准应包括正文和标准编制说明。标准编制说明应包括下列内容：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与人体接触的材料是否已在临床上应用过，其安全性、可靠性是否得到证明；</w:t>
                        </w:r>
                        <w:r>
                          <w:rPr>
                            <w:rFonts w:ascii="宋体" w:hAnsi="宋体" w:eastAsia="宋体" w:cs="宋体"/>
                            <w:color w:val="000000"/>
                            <w:kern w:val="0"/>
                            <w:sz w:val="15"/>
                          </w:rPr>
                          <w:t> </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引用或参照的相关标准和资料；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管理类别确定的依据；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产品概述及主要技术条款确定的依据；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其他需要说明的内容。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（3）注册产品标准中，应明示产品使用原材料及各部件的组成成份，有材料牌号的，明确材料牌号；给出产品相应结构图示、详细的规格尺寸。</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（4）对于重新注册产品的注册产品标准，若制造商在原注册产品标准基础上进行了修订，制造商在申报产品重新注册时，应同时提供标准修订说明，在标准修订说明中明确修订的内容及修订依据。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有些重新注册产品，虽然产品设计和适用范围均未发生改变，但由于国家/行业标准通过注册产品标准的引用而成为注册产品标准的组成部分，随着这些国家/行业标准的更新，其注册产品标准亦应进行相应的更新。</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（5）申请人/制造商在申报过程中，按照补充资料通知单要求进行补充资料时，若对注册产品标准的内容进行了修订并提供了新版的注册产品标准，应同时提供说明标准变更前后对比情况的资料。</w:t>
                        </w:r>
                      </w:p>
                      <w:tbl>
                        <w:tblPr>
                          <w:tblStyle w:val="9"/>
                          <w:tblW w:w="5000" w:type="pct"/>
                          <w:tblInd w:w="0" w:type="dxa"/>
                          <w:tblLayout w:type="autofit"/>
                          <w:tblCellMar>
                            <w:top w:w="0" w:type="dxa"/>
                            <w:left w:w="0" w:type="dxa"/>
                            <w:bottom w:w="0" w:type="dxa"/>
                            <w:right w:w="0" w:type="dxa"/>
                          </w:tblCellMar>
                        </w:tblPr>
                        <w:tblGrid>
                          <w:gridCol w:w="8306"/>
                        </w:tblGrid>
                        <w:tr w14:paraId="7F727CD8">
                          <w:tblPrEx>
                            <w:tblCellMar>
                              <w:top w:w="0" w:type="dxa"/>
                              <w:left w:w="0" w:type="dxa"/>
                              <w:bottom w:w="0" w:type="dxa"/>
                              <w:right w:w="0" w:type="dxa"/>
                            </w:tblCellMar>
                          </w:tblPrEx>
                          <w:tc>
                            <w:tcPr>
                              <w:tcW w:w="0" w:type="auto"/>
                              <w:tcMar>
                                <w:top w:w="215" w:type="dxa"/>
                                <w:left w:w="0" w:type="dxa"/>
                                <w:bottom w:w="0" w:type="dxa"/>
                                <w:right w:w="0" w:type="dxa"/>
                              </w:tcMar>
                              <w:vAlign w:val="center"/>
                            </w:tcPr>
                            <w:p w14:paraId="79934765">
                              <w:pPr>
                                <w:widowControl/>
                                <w:wordWrap w:val="0"/>
                                <w:spacing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3．临床试验资料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（1）申请注册的境外产品需在国内进行临床试验时，应当按照《医疗器械临床试验规定》的要求提供临床试验资料。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（2）临床试验方案</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临床试验方案中应明确疗效评价指标，且应采用国际公认的评价标准，如果无公认标准，应采用临床常规疗效评价标准。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临床试验方案中试验样本量的确定应按照试验目的、试验类型（优效、非劣效、等效）确定并符合统计学要求，并应采用经典的、公认的统计方法、计算公式、统计软件（如：SAS、SPSS、SYSTAT）。</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为了保证得到科学、有效的疗效评价，应根据情况设置合理对照。</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为了保证临床试验的科学性，不建议采用文献数据及历史数据作为对照。</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试验组和对照组应采用统一的入选标准和排除标准，如为多中心临床试验，应按统一的方案进行试验。</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⑥ 试验组和对照组的临床观察及随访时间应相同。</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（3）临床试验报告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临床试验报告应与临床试验方案保持一致，尤其注意明确以下内容：试验产品的产品名称、型号、规格及所对应的试验病种和各个病种的病例数；各病例的随访时间；试验产品的临床适用范围/适应证、禁忌证与注意事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临床适用范围/适应证仅限于已进行临床试验并得出具有统计学意义结论的范围/病种。</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临床试验报告应明确所有病例是否全部完成随访，完成的随访病例是否均纳入统计。失访病例应明确失访原因。</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临床试验报告应提交参与疗效评价与安全性评价的统计过程中所涉及到的原始数据。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临床试验报告应报告所有不良事件发生的时间、发生的原因、结果及与试验器械的关系。对于所采取的措施应予以明确。</w:t>
                              </w:r>
                            </w:p>
                            <w:p w14:paraId="1E21DD6A">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4．产品说明书</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（1）根据《医疗器械说明书、标签和包装标识管理规定》的要求提供产品说明书。</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（2）产品临床适用范围/适应证、禁忌证、注意事项应与临床试验报告保持一致。</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（3）产品有效期限、使用寿命限制、从人体取出的期限、已采用的灭菌方法、推荐采用的灭菌（消毒）方法等信息应与产品技术报告所述一致。　　　　　　</w:t>
                              </w:r>
                            </w:p>
                            <w:p w14:paraId="372F9855">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5．质量跟踪报告（适用于重新注册产品）</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为全面了解已注册产品临床使用情况，建议制造商在质量跟踪报告中提供以下信息：已注册产品市场销售情况，包括产品销售量，如果产品型号间差异较大时,应提供不同型号产品销售情况；根据产品临床适用范围/适应证详述产品上市后临床随访情况；详述产品上市后所有不良事件、投诉发生情况，对不良事件、投诉原因的分析与处理情况。</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（2）为了对重新注册产品的安全性和有效性做出科学合理的评价，建议制造商详细说明此次申请重新注册产品与原注册产品相比的任何变化情况，可能涉及但不限于以下几个方面：</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材料及材料供应商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加工工艺</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产品结构</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预期用途</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包装材料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⑥ 灭菌方式</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若存在任何一种涉及产品的技术性变化，则制造商应提交该变化是否会带来新风险的详细论证与评价资料。</w:t>
                              </w:r>
                            </w:p>
                          </w:tc>
                        </w:tr>
                        <w:tr w14:paraId="006EF8F4">
                          <w:tblPrEx>
                            <w:tblCellMar>
                              <w:top w:w="0" w:type="dxa"/>
                              <w:left w:w="0" w:type="dxa"/>
                              <w:bottom w:w="0" w:type="dxa"/>
                              <w:right w:w="0" w:type="dxa"/>
                            </w:tblCellMar>
                          </w:tblPrEx>
                          <w:tc>
                            <w:tcPr>
                              <w:tcW w:w="0" w:type="auto"/>
                              <w:vAlign w:val="center"/>
                            </w:tcPr>
                            <w:p w14:paraId="74708C8F">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6．其他</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医疗器械产品名称应规范。通用名称可以已发布的国家标准、行业标准以及《医疗器械产品分类目录》中的产品名称为依据。没有国家标准、行业标准以及《医疗器械产品分类目录》中无相应产品名称的产品，其命名应以体现产品技术结构特征、功能属性为基本原则，并应符合《医疗器械说明书、标签和包装标识管理规定》中有关规定。通用名称、商品名称、型号、规格的命名不应有重复之处，且申报资料中涉及产品名称、商品名称、型号、规格之处均应保持一致。</w:t>
                              </w:r>
                            </w:p>
                            <w:p w14:paraId="0088F665">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四、名词解释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植入性医疗器械(Implantable Medical Device)：是指任何通过外科手术达到下列目的的医疗器械：全部或部分插入人体或自然腔道中，或为替代上表皮或眼表面;此类医疗器械，通过外科手段在术后置留体内30天以上，并只能通过内科或外科手段取出。注：该定义不适用于有源植入性医疗器械。</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生物医用材料，或称生物材料（biomaterials）：是与人体相互作用，用以诊断、治疗、修复或替换机体中的组织、器官或增进其功能的材料；是与人类生命和健康密切相关的，对人体组织、血液不致产生不良反应的材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多中心临床试验：是指有多名研究者在不同的研究机构内参加并按同一试验方案要求用相同的方法同步进行的临床试验。</w:t>
                              </w:r>
                            </w:p>
                            <w:p w14:paraId="52F5EBE4">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五、参考文献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w:t>
                              </w:r>
                              <w:r>
                                <w:rPr>
                                  <w:rFonts w:ascii="宋体" w:hAnsi="宋体" w:eastAsia="宋体" w:cs="宋体"/>
                                  <w:color w:val="000000"/>
                                  <w:kern w:val="0"/>
                                  <w:sz w:val="15"/>
                                  <w:szCs w:val="15"/>
                                </w:rPr>
                                <w:fldChar w:fldCharType="begin"/>
                              </w:r>
                              <w:r>
                                <w:rPr>
                                  <w:rFonts w:ascii="宋体" w:hAnsi="宋体" w:eastAsia="宋体" w:cs="宋体"/>
                                  <w:color w:val="000000"/>
                                  <w:kern w:val="0"/>
                                  <w:sz w:val="15"/>
                                  <w:szCs w:val="15"/>
                                </w:rPr>
                                <w:instrText xml:space="preserve"> HYPERLINK "http://www.sda.gov.cn/WS01/CL0063/16570.html" \t "_blank" </w:instrText>
                              </w:r>
                              <w:r>
                                <w:rPr>
                                  <w:rFonts w:ascii="宋体" w:hAnsi="宋体" w:eastAsia="宋体" w:cs="宋体"/>
                                  <w:color w:val="000000"/>
                                  <w:kern w:val="0"/>
                                  <w:sz w:val="15"/>
                                  <w:szCs w:val="15"/>
                                </w:rPr>
                                <w:fldChar w:fldCharType="separate"/>
                              </w:r>
                              <w:r>
                                <w:rPr>
                                  <w:rFonts w:ascii="宋体" w:hAnsi="宋体" w:eastAsia="宋体" w:cs="宋体"/>
                                  <w:color w:val="0000FF"/>
                                  <w:kern w:val="0"/>
                                  <w:sz w:val="15"/>
                                </w:rPr>
                                <w:t>医疗器械监督管理条例</w:t>
                              </w:r>
                              <w:r>
                                <w:rPr>
                                  <w:rFonts w:ascii="宋体" w:hAnsi="宋体" w:eastAsia="宋体" w:cs="宋体"/>
                                  <w:color w:val="000000"/>
                                  <w:kern w:val="0"/>
                                  <w:sz w:val="15"/>
                                  <w:szCs w:val="15"/>
                                </w:rPr>
                                <w:fldChar w:fldCharType="end"/>
                              </w:r>
                              <w:r>
                                <w:rPr>
                                  <w:rFonts w:ascii="宋体" w:hAnsi="宋体" w:eastAsia="宋体" w:cs="宋体"/>
                                  <w:color w:val="000000"/>
                                  <w:kern w:val="0"/>
                                  <w:sz w:val="15"/>
                                  <w:szCs w:val="15"/>
                                </w:rPr>
                                <w:t>》（中华人民共和国国务院令第276号），2000.1.4</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w:t>
                              </w:r>
                              <w:r>
                                <w:rPr>
                                  <w:rFonts w:ascii="宋体" w:hAnsi="宋体" w:eastAsia="宋体" w:cs="宋体"/>
                                  <w:color w:val="000000"/>
                                  <w:kern w:val="0"/>
                                  <w:sz w:val="15"/>
                                  <w:szCs w:val="15"/>
                                </w:rPr>
                                <w:fldChar w:fldCharType="begin"/>
                              </w:r>
                              <w:r>
                                <w:rPr>
                                  <w:rFonts w:ascii="宋体" w:hAnsi="宋体" w:eastAsia="宋体" w:cs="宋体"/>
                                  <w:color w:val="000000"/>
                                  <w:kern w:val="0"/>
                                  <w:sz w:val="15"/>
                                  <w:szCs w:val="15"/>
                                </w:rPr>
                                <w:instrText xml:space="preserve"> HYPERLINK "http://www.sda.gov.cn/WS01/CL0053/25844.html" \t "_blank" </w:instrText>
                              </w:r>
                              <w:r>
                                <w:rPr>
                                  <w:rFonts w:ascii="宋体" w:hAnsi="宋体" w:eastAsia="宋体" w:cs="宋体"/>
                                  <w:color w:val="000000"/>
                                  <w:kern w:val="0"/>
                                  <w:sz w:val="15"/>
                                  <w:szCs w:val="15"/>
                                </w:rPr>
                                <w:fldChar w:fldCharType="separate"/>
                              </w:r>
                              <w:r>
                                <w:rPr>
                                  <w:rFonts w:ascii="宋体" w:hAnsi="宋体" w:eastAsia="宋体" w:cs="宋体"/>
                                  <w:color w:val="0000FF"/>
                                  <w:kern w:val="0"/>
                                  <w:sz w:val="15"/>
                                </w:rPr>
                                <w:t>医疗器械注册管理办法</w:t>
                              </w:r>
                              <w:r>
                                <w:rPr>
                                  <w:rFonts w:ascii="宋体" w:hAnsi="宋体" w:eastAsia="宋体" w:cs="宋体"/>
                                  <w:color w:val="000000"/>
                                  <w:kern w:val="0"/>
                                  <w:sz w:val="15"/>
                                  <w:szCs w:val="15"/>
                                </w:rPr>
                                <w:fldChar w:fldCharType="end"/>
                              </w:r>
                              <w:r>
                                <w:rPr>
                                  <w:rFonts w:ascii="宋体" w:hAnsi="宋体" w:eastAsia="宋体" w:cs="宋体"/>
                                  <w:color w:val="000000"/>
                                  <w:kern w:val="0"/>
                                  <w:sz w:val="15"/>
                                  <w:szCs w:val="15"/>
                                </w:rPr>
                                <w:t>》（局令第16号），2004.8.9</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w:t>
                              </w:r>
                              <w:r>
                                <w:rPr>
                                  <w:rFonts w:ascii="宋体" w:hAnsi="宋体" w:eastAsia="宋体" w:cs="宋体"/>
                                  <w:color w:val="000000"/>
                                  <w:kern w:val="0"/>
                                  <w:sz w:val="15"/>
                                  <w:szCs w:val="15"/>
                                </w:rPr>
                                <w:fldChar w:fldCharType="begin"/>
                              </w:r>
                              <w:r>
                                <w:rPr>
                                  <w:rFonts w:ascii="宋体" w:hAnsi="宋体" w:eastAsia="宋体" w:cs="宋体"/>
                                  <w:color w:val="000000"/>
                                  <w:kern w:val="0"/>
                                  <w:sz w:val="15"/>
                                  <w:szCs w:val="15"/>
                                </w:rPr>
                                <w:instrText xml:space="preserve"> HYPERLINK "http://www.sda.gov.cn/WS01/CL0053/24475.html" \t "_blank" </w:instrText>
                              </w:r>
                              <w:r>
                                <w:rPr>
                                  <w:rFonts w:ascii="宋体" w:hAnsi="宋体" w:eastAsia="宋体" w:cs="宋体"/>
                                  <w:color w:val="000000"/>
                                  <w:kern w:val="0"/>
                                  <w:sz w:val="15"/>
                                  <w:szCs w:val="15"/>
                                </w:rPr>
                                <w:fldChar w:fldCharType="separate"/>
                              </w:r>
                              <w:r>
                                <w:rPr>
                                  <w:rFonts w:ascii="宋体" w:hAnsi="宋体" w:eastAsia="宋体" w:cs="宋体"/>
                                  <w:color w:val="0000FF"/>
                                  <w:kern w:val="0"/>
                                  <w:sz w:val="15"/>
                                </w:rPr>
                                <w:t>医疗器械临床试验规定</w:t>
                              </w:r>
                              <w:r>
                                <w:rPr>
                                  <w:rFonts w:ascii="宋体" w:hAnsi="宋体" w:eastAsia="宋体" w:cs="宋体"/>
                                  <w:color w:val="000000"/>
                                  <w:kern w:val="0"/>
                                  <w:sz w:val="15"/>
                                  <w:szCs w:val="15"/>
                                </w:rPr>
                                <w:fldChar w:fldCharType="end"/>
                              </w:r>
                              <w:r>
                                <w:rPr>
                                  <w:rFonts w:ascii="宋体" w:hAnsi="宋体" w:eastAsia="宋体" w:cs="宋体"/>
                                  <w:color w:val="000000"/>
                                  <w:kern w:val="0"/>
                                  <w:sz w:val="15"/>
                                  <w:szCs w:val="15"/>
                                </w:rPr>
                                <w:t>》（局令第5号），2004.1.17</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4．《</w:t>
                              </w:r>
                              <w:r>
                                <w:rPr>
                                  <w:rFonts w:ascii="宋体" w:hAnsi="宋体" w:eastAsia="宋体" w:cs="宋体"/>
                                  <w:color w:val="000000"/>
                                  <w:kern w:val="0"/>
                                  <w:sz w:val="15"/>
                                  <w:szCs w:val="15"/>
                                </w:rPr>
                                <w:fldChar w:fldCharType="begin"/>
                              </w:r>
                              <w:r>
                                <w:rPr>
                                  <w:rFonts w:ascii="宋体" w:hAnsi="宋体" w:eastAsia="宋体" w:cs="宋体"/>
                                  <w:color w:val="000000"/>
                                  <w:kern w:val="0"/>
                                  <w:sz w:val="15"/>
                                  <w:szCs w:val="15"/>
                                </w:rPr>
                                <w:instrText xml:space="preserve"> HYPERLINK "http://www.sda.gov.cn/WS01/CL0053/24469.html" \t "_blank" </w:instrText>
                              </w:r>
                              <w:r>
                                <w:rPr>
                                  <w:rFonts w:ascii="宋体" w:hAnsi="宋体" w:eastAsia="宋体" w:cs="宋体"/>
                                  <w:color w:val="000000"/>
                                  <w:kern w:val="0"/>
                                  <w:sz w:val="15"/>
                                  <w:szCs w:val="15"/>
                                </w:rPr>
                                <w:fldChar w:fldCharType="separate"/>
                              </w:r>
                              <w:r>
                                <w:rPr>
                                  <w:rFonts w:ascii="宋体" w:hAnsi="宋体" w:eastAsia="宋体" w:cs="宋体"/>
                                  <w:color w:val="0000FF"/>
                                  <w:kern w:val="0"/>
                                  <w:sz w:val="15"/>
                                </w:rPr>
                                <w:t>医疗器械标准管理办法（试行）</w:t>
                              </w:r>
                              <w:r>
                                <w:rPr>
                                  <w:rFonts w:ascii="宋体" w:hAnsi="宋体" w:eastAsia="宋体" w:cs="宋体"/>
                                  <w:color w:val="000000"/>
                                  <w:kern w:val="0"/>
                                  <w:sz w:val="15"/>
                                  <w:szCs w:val="15"/>
                                </w:rPr>
                                <w:fldChar w:fldCharType="end"/>
                              </w:r>
                              <w:r>
                                <w:rPr>
                                  <w:rFonts w:ascii="宋体" w:hAnsi="宋体" w:eastAsia="宋体" w:cs="宋体"/>
                                  <w:color w:val="000000"/>
                                  <w:kern w:val="0"/>
                                  <w:sz w:val="15"/>
                                  <w:szCs w:val="15"/>
                                </w:rPr>
                                <w:t>》（局令第31号），2002.1.4</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5．《</w:t>
                              </w:r>
                              <w:r>
                                <w:rPr>
                                  <w:rFonts w:ascii="宋体" w:hAnsi="宋体" w:eastAsia="宋体" w:cs="宋体"/>
                                  <w:color w:val="000000"/>
                                  <w:kern w:val="0"/>
                                  <w:sz w:val="15"/>
                                  <w:szCs w:val="15"/>
                                </w:rPr>
                                <w:fldChar w:fldCharType="begin"/>
                              </w:r>
                              <w:r>
                                <w:rPr>
                                  <w:rFonts w:ascii="宋体" w:hAnsi="宋体" w:eastAsia="宋体" w:cs="宋体"/>
                                  <w:color w:val="000000"/>
                                  <w:kern w:val="0"/>
                                  <w:sz w:val="15"/>
                                  <w:szCs w:val="15"/>
                                </w:rPr>
                                <w:instrText xml:space="preserve"> HYPERLINK "http://www.sda.gov.cn/WS01/CL0053/24517.html" \t "_blank" </w:instrText>
                              </w:r>
                              <w:r>
                                <w:rPr>
                                  <w:rFonts w:ascii="宋体" w:hAnsi="宋体" w:eastAsia="宋体" w:cs="宋体"/>
                                  <w:color w:val="000000"/>
                                  <w:kern w:val="0"/>
                                  <w:sz w:val="15"/>
                                  <w:szCs w:val="15"/>
                                </w:rPr>
                                <w:fldChar w:fldCharType="separate"/>
                              </w:r>
                              <w:r>
                                <w:rPr>
                                  <w:rFonts w:ascii="宋体" w:hAnsi="宋体" w:eastAsia="宋体" w:cs="宋体"/>
                                  <w:color w:val="0000FF"/>
                                  <w:kern w:val="0"/>
                                  <w:sz w:val="15"/>
                                </w:rPr>
                                <w:t>医疗器械说明书、标签和包装标识管理规定</w:t>
                              </w:r>
                              <w:r>
                                <w:rPr>
                                  <w:rFonts w:ascii="宋体" w:hAnsi="宋体" w:eastAsia="宋体" w:cs="宋体"/>
                                  <w:color w:val="000000"/>
                                  <w:kern w:val="0"/>
                                  <w:sz w:val="15"/>
                                  <w:szCs w:val="15"/>
                                </w:rPr>
                                <w:fldChar w:fldCharType="end"/>
                              </w:r>
                              <w:r>
                                <w:rPr>
                                  <w:rFonts w:ascii="宋体" w:hAnsi="宋体" w:eastAsia="宋体" w:cs="宋体"/>
                                  <w:color w:val="000000"/>
                                  <w:kern w:val="0"/>
                                  <w:sz w:val="15"/>
                                  <w:szCs w:val="15"/>
                                </w:rPr>
                                <w:t>》（局令第10号），2004.7.8</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6．《境内第三类、境外医疗器械注册申报资料受理标准》（国食药监械〔2005〕111号）</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7．俞耀庭主编，《生物医用材料》，天津大学出版社，2000.12</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8．李玉宝主编，《生物医学材料》，化学工业出版社，2003.8</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9．《</w:t>
                              </w:r>
                              <w:r>
                                <w:rPr>
                                  <w:rFonts w:ascii="宋体" w:hAnsi="宋体" w:eastAsia="宋体" w:cs="宋体"/>
                                  <w:color w:val="000000"/>
                                  <w:kern w:val="0"/>
                                  <w:sz w:val="15"/>
                                  <w:szCs w:val="15"/>
                                </w:rPr>
                                <w:fldChar w:fldCharType="begin"/>
                              </w:r>
                              <w:r>
                                <w:rPr>
                                  <w:rFonts w:ascii="宋体" w:hAnsi="宋体" w:eastAsia="宋体" w:cs="宋体"/>
                                  <w:color w:val="000000"/>
                                  <w:kern w:val="0"/>
                                  <w:sz w:val="15"/>
                                  <w:szCs w:val="15"/>
                                </w:rPr>
                                <w:instrText xml:space="preserve"> HYPERLINK "http://www.sda.gov.cn/WS01/CL0055/10368.html" \t "_blank" </w:instrText>
                              </w:r>
                              <w:r>
                                <w:rPr>
                                  <w:rFonts w:ascii="宋体" w:hAnsi="宋体" w:eastAsia="宋体" w:cs="宋体"/>
                                  <w:color w:val="000000"/>
                                  <w:kern w:val="0"/>
                                  <w:sz w:val="15"/>
                                  <w:szCs w:val="15"/>
                                </w:rPr>
                                <w:fldChar w:fldCharType="separate"/>
                              </w:r>
                              <w:r>
                                <w:rPr>
                                  <w:rFonts w:ascii="宋体" w:hAnsi="宋体" w:eastAsia="宋体" w:cs="宋体"/>
                                  <w:color w:val="0000FF"/>
                                  <w:kern w:val="0"/>
                                  <w:sz w:val="15"/>
                                </w:rPr>
                                <w:t>化学药物制剂研究基本技术指导原则</w:t>
                              </w:r>
                              <w:r>
                                <w:rPr>
                                  <w:rFonts w:ascii="宋体" w:hAnsi="宋体" w:eastAsia="宋体" w:cs="宋体"/>
                                  <w:color w:val="000000"/>
                                  <w:kern w:val="0"/>
                                  <w:sz w:val="15"/>
                                  <w:szCs w:val="15"/>
                                </w:rPr>
                                <w:fldChar w:fldCharType="end"/>
                              </w:r>
                              <w:r>
                                <w:rPr>
                                  <w:rFonts w:ascii="宋体" w:hAnsi="宋体" w:eastAsia="宋体" w:cs="宋体"/>
                                  <w:color w:val="000000"/>
                                  <w:kern w:val="0"/>
                                  <w:sz w:val="15"/>
                                  <w:szCs w:val="15"/>
                                </w:rPr>
                                <w:t>》（国食药监注〔2005〕106号），2005.3</w:t>
                              </w:r>
                            </w:p>
                            <w:p w14:paraId="7756532A">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动物源性医疗器械产品注册申报资料指导原则</w:t>
                              </w:r>
                            </w:p>
                            <w:p w14:paraId="185D7C95">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一、前言</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本指导原则旨在指导申请者/制造商对动物源性医疗器械的注册申报资料进行准备。某些医疗器械可能含有动物来源的材料，这些材料是多种多样的，可以构成该器械的主要部件（例如牛/猪源心脏瓣膜、羊肠缝合线、止血材料等）、涂层或者浸渗剂（例如肝素、明胶、胶原等），也可成为生产过程中所用的辅助材料（例如牛脂等）。动物组织及其衍生物的使用可能会比非动物来源的材料（例如金属、塑料以及织物等）使医疗器械具有更好的性能，但是在另一方面，它们应用到人体则又会增加病毒传播和免疫原性等方面的安全风险。因此，对于动物源性医疗器械安全性的评价，需要考虑比常规医疗器械更多方面的内容。如果申请者/制造商在准备医疗器械注册申报资料时有这方面的考虑，将有助于更加充分、科学地评价医疗器械产品的风险受益比，进而提高产品注册申报的效率。</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本指导原则是在注册申报资料中有关的技术性文件（技术报告、风险分析报告、注册产品标准及产品说明书）满足一般性要求的基础上，针对动物源性医疗器械产品的特点提出的需特别关注和增加论述的内容要求。对于其他注册申报资料的要求，申请者/制造商应按照《医疗器械注册管理办法》的相关要求并参照《医疗器械临床试验规定》、《医疗器械标准管理办法(试行)》、《医疗器械说明书、标签和包装标识管理规定》、《关于含有牛、羊源性材料医疗器械注册有关事宜的公告》（国食药监械［2006］407号）、《无源植入性医疗器械产品注册申报资料指导原则》等其他相关法规文件的要求。申请人/制造商应依据具体产品的特性对注册申报资料的内容进行充实和细化。申请人/制造商还应当依据具体产品的特性确定其中的具体内容是否适用。若不适用，应详细阐述其理由及相应的科学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本指导原则是对申请人/制造商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本指导原则是在现行法规和标准体系以及当前认知水平下制订的，随着法规和标准的不断完善，以及科学技术的不断发展，本指导原则相关内容也将进行适时的调整。</w:t>
                              </w:r>
                            </w:p>
                            <w:p w14:paraId="64AB43AE">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二、适用范围</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本指导原则适用于全部或部分采用无生命动物组织制成的或取材于动物组织的医疗器械产品（体外诊断用医疗器械除外）的注册申报。本指导原则同样适用于采用动物组织衍生物或由动物体自然获取物质（例如：牛奶、羊毛等）制成的医疗器械产品注册申报。</w:t>
                              </w:r>
                            </w:p>
                            <w:p w14:paraId="3DA719CF">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三、基本要求</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（一）动物源性医疗器械产品注册申报资料要求</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1．境内动物源性医疗器械产品注册申报资料在满足一般性要求的基础上，还应增加下述内容：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（1）技术报告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对于动物源性医疗器械，这一部分的资料需要增加涉及控制病毒和/或传染性病原体感染以及免疫原性风险方面有关的技术内容。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鉴于不同种类和不同数量的病毒和传染性病原体感染人体的概率不尽相同，而不同动物种类易感染病毒和传染性病原体的种类和程度也千差万别，因此动物种类的确定对于动物源性医疗器械的风险起着重要作用。此外，动物的地理来源、年龄、取材部位的不同也直接影响着动物源性材料所具有风险的高低。</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对于感染病毒和传染性病原体的风险控制需至少从源头控制和病毒灭活两方面着手，仅依靠源头控制或仅依靠病毒灭活都无法确保风险降至最低。为确保风险的可控性，企业需建立起一套追溯体系，以便在发现不良事件时能够及时查出原因并采取措施以防止类似不良事件的再次发生。此外，定点饲养、定点采购、定点屠杀，以及根据国家相关规定进行动物防疫、检疫，都是降低病毒和传染性病原体传播风险的必要手段。</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对于动物源性材料带来的免疫原性风险的降低，一般采用在生产工艺中降低其免疫原性的方法，包括脱细胞、去除杂蛋白，以及使蛋白质变性等物理的和/或化学的处理步骤，生产企业需对其降低材料免疫原性的有效性进行验证。然而，这些处理步骤以及灭活和去除病毒和／或传染性病原体的处理步骤有可能是以牺牲材料本身的使用性能为代价的，生产企业需充分评估其对产品的不利影响，以保证产品最终能够安全有效地使用。</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因此，产品技术报告至少应增加以下内容：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动物的种类、地理来源、年龄、取材部位及取材部位的组织性质的具体描述；</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对于常规定点饲养的动物种类，提供与动物定点饲养单位签订的长期供货协议及饲养单位的资质证明；如果涉及中间商，应提供所有中间商的有关供货协议及资质证明；</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对于常规定点屠宰的动物种类，提供制造商与屠宰单位签订的合同及屠宰单位的资格证明；</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对所执行的检疫标准的描述，以及所取材动物的检疫/防疫证明性资料,一般包括动物检疫合格证、动物防疫合格证、对动物进行防疫接种的兽医卫生合格证等；</w:t>
                              </w:r>
                              <w:r>
                                <w:rPr>
                                  <w:rFonts w:ascii="宋体" w:hAnsi="宋体" w:eastAsia="宋体" w:cs="宋体"/>
                                  <w:color w:val="000000"/>
                                  <w:kern w:val="0"/>
                                  <w:sz w:val="15"/>
                                </w:rPr>
                                <w:t> </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制造商对保存每一批动物可追溯性文件（该文件中至少应包括：该产品所用动物的地理来源、取材部位、动物的可追溯性标识、动物饲养、检疫、屠宰及加工方面的情况）的承诺；</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注：这里提到的批是指在同一环境中饲养、检疫、屠宰或加工的一组动物。</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⑥ 对生产过程中灭活和去除病毒和／或传染性病原体工艺过程的描述及有效性验证数据或相关资料（具体内容可参见本章第（二）节）；</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⑦ 对清除（或降低）动物源性材料免疫原性工艺过程的描述、质量控制指标与验证性实验数据或相关资料。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（2）风险分析报告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对于动物源性医疗器械，这一部分的资料需要增加对病毒和/或传染性病原体感染以及免疫原性风险的分析、控制以及残余风险的分析。</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鉴于使用动物源性材料所带来的潜在风险，申请者/制造商需具体说明在所申报的医疗器械中使用动物源性材料同使用非动物源性材料相比具有哪些优势，以便充分评价使用动物源性材料的风险/受益比。</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对于不同的动物源性医疗器械，其免疫原性风险也会因取材动物的种类、取材部位的不同而不同，因此需在充分分析免疫原性风险的基础上再对其进行有效地控制。</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对感染病毒和/或传染性病原体的风险分析需包括动物的饲养、运输、屠宰，动物源性材料的取材、加工处理，以及动物源性医疗器械在人体的使用等各个环节。</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因此，产品风险分析报告应至少增加以下内容：</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使用动物源性材料的原因，对于所用动物源性材料可否用其他材料替代，以及动物源性材料与其他材料的比较分析；</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对动物在饲养过程中可能感染病毒和/或传染性病原体的风险分析（包括饲养方式、饲养条件、饲料种类、防疫情况、运输等方面）和相应的控制措施；</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对取材和加工处理等过程中产品可能感染病毒和/或传染性病原体的风险分析和相应的控制措施；</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对产品使用过程中人体可能由动物源性医疗器械感染病毒和/或传染性病原体的风险分析和相应的控制措施；</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对产品使用过程中人体可能因为接触动物源性材料而产生的免疫原性方面的风险分析和相应的控制措施。</w:t>
                              </w:r>
                              <w:r>
                                <w:rPr>
                                  <w:rFonts w:ascii="宋体" w:hAnsi="宋体" w:eastAsia="宋体" w:cs="宋体"/>
                                  <w:color w:val="000000"/>
                                  <w:kern w:val="0"/>
                                  <w:sz w:val="15"/>
                                </w:rPr>
                                <w:t> </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（3）注册产品标准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作为产品的重要技术信息，所取材动物的种类和部位应在注册产品标准中予以明确。当产品的免疫原性风险很大程度上取决于生产过程控制时，应在注册产品标准中制定出产品免疫原性或相关性能的控制指标。这些控制指标可能是通过生物化学方法测定的免疫学指标，也可能是通过物理的或化学的方法测定的能够间接地反映产品免疫原性可得到有效控制的产品技术指标（例如残留细胞数量、杂蛋白含量等）。注册产品标准的编制说明中应给出制定这些具体指标及检测方法的科学依据以证明产品的免疫原性可控制在可接受范围。</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（4）产品说明书</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出于对患者知情权的考虑，应在产品说明书中明示出产品取材于何种动物的何种组织。</w:t>
                              </w:r>
                            </w:p>
                            <w:p w14:paraId="76423297">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2．境外动物源性医疗器械产品注册申报资料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境外动物源性医疗器械应用于人体的风险同境内动物源性医疗器械一致，因此新增的技术内容可参照境内动物源性医疗器械，但鉴于不同原产国对于动物源性医疗器械的管理方式不同，导致相关技术资料的格式不尽相同，因此对技术资料的格式和编排顺序可以不遵循本指导原则，但对技术内容应全部涵盖，若有不适用的条款应逐条阐述不适用的理由及科学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（1）动物源安全性技术资料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这一部分的资料可参照境内医疗器械产品技术报告和风险分析报告的内容，至少应包括：</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① 使用动物源性材料的原因，对于所用动物源性材料可否用其他材料替代，以及动物源性材料与其他材料的比较分析；</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② 对所取材动物的种类、地理来源、年龄、取材部位及取材部位的组织性质的具体描述；</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③ 对饲养、取材和加工处理等过程中产品可能感染病毒和/或传染性病原体的风险分析和相应的控制措施（若附有国外官方或第三方出具的证明性文件，应提交原件或公证件），以及对产品使用过程中人体可能由动物源性医疗器械感染病毒和/或传染性病原体的风险分析和相应的控制措施；</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注：该项内容可按照ISO 22442提供。</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④ 对产品使用过程中人体可能因为接触动物源性材料而产生的免疫原性方面的风险分析和相应的控制措施，以及清除（或降低）动物源性材料免疫原性工艺过程的描述、质量控制指标与验证性实验数据或相关资料；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⑤ 对生产过程中灭活和去除病毒和／或传染性病原体工艺过程的描述及有效性验证数据或相关资料（具体内容可参见本章第（二）节）；</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⑥ 制造商对保存每一批动物可追溯性文件（该文件中至少应包括：该产品所用动物的地理来源、取材部位、动物的可追溯性标识、动物饲养、检疫、屠宰及加工方面的情况）的承诺。</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注：这里提到的批是指在同一环境中饲养、检疫、屠宰或加工的一组动物。</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（2）注册产品标准</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在注册产品标准中应明确所取材动物的种类和部位。必要时，在注册产品标准中应制定出产品免疫原性或相关性能的控制指标，并在标准编制说明中给出这些具体指标及检测方法制定的科学依据。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（3）产品说明书</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出于对患者知情权的考虑，应在产品说明书中明示出产品取材于何种动物的何种组织。</w:t>
                              </w:r>
                            </w:p>
                            <w:p w14:paraId="32C01B26">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（二）病毒灭活有效性验证资料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为了提高动物源性医疗器械的安全性，生产过程中需有特定的灭活和去除病毒和／或传染性病原体工艺。因此，在境内和境外动物源性医疗器械产品注册申报资料中需增加对生产过程中灭活和去除病毒和／或传染性病原体工艺过程的描述及有效性验证数据或相关资料。</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对这些工艺的去除/灭活病毒有效性的验证，应至少遵循以下原则：</w:t>
                              </w:r>
                            </w:p>
                            <w:p w14:paraId="615E2E50">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1．指示病毒的选择</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首先，需要选择与生产过程中采用的原材料可能含有病毒种类的相关病毒，不能用相关病毒的，要选择与其理化性质尽可能相似的指示病毒；第二，所选择的病毒理化性质应有代表性（病毒大小、核酸类型以及有无包膜），其中至少应包括一种对物理和/或化学处理有明显抗性的病毒；第三，指示病毒滴度需要尽可能高（病毒滴度一般需≥106/mL）。</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表1列举了已用于病毒清除研究的病毒。这些病毒根据生产工艺研究情况，对物理和/或化学处理具有不同的耐受性。病毒的耐受性与特定的处理方式有关，只有在了解病毒生物特性和生产工艺特定情况下才能使用这些病毒，而且实际结果会随着处理情况的变化而变化。</w:t>
                              </w:r>
                            </w:p>
                            <w:p w14:paraId="03B4A8F0">
                              <w:pPr>
                                <w:widowControl/>
                                <w:wordWrap w:val="0"/>
                                <w:spacing w:before="100" w:beforeAutospacing="1" w:after="100" w:afterAutospacing="1" w:line="226" w:lineRule="atLeast"/>
                                <w:jc w:val="left"/>
                                <w:rPr>
                                  <w:rFonts w:ascii="宋体" w:hAnsi="宋体" w:eastAsia="宋体" w:cs="宋体"/>
                                  <w:color w:val="000000"/>
                                  <w:kern w:val="0"/>
                                  <w:sz w:val="15"/>
                                  <w:szCs w:val="15"/>
                                </w:rPr>
                              </w:pPr>
                              <w:r>
                                <w:rPr>
                                  <w:rFonts w:hint="eastAsia" w:ascii="仿宋_GB2312" w:hAnsi="宋体" w:eastAsia="仿宋_GB2312" w:cs="宋体"/>
                                  <w:color w:val="000000"/>
                                  <w:kern w:val="0"/>
                                  <w:sz w:val="22"/>
                                </w:rPr>
                                <w:t>表1</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                                               已用于病毒清除研究的病毒举例</w:t>
                              </w:r>
                            </w:p>
                            <w:tbl>
                              <w:tblPr>
                                <w:tblStyle w:val="9"/>
                                <w:tblW w:w="10665" w:type="dxa"/>
                                <w:tblInd w:w="0" w:type="dxa"/>
                                <w:tblLayout w:type="autofit"/>
                                <w:tblCellMar>
                                  <w:top w:w="0" w:type="dxa"/>
                                  <w:left w:w="0" w:type="dxa"/>
                                  <w:bottom w:w="0" w:type="dxa"/>
                                  <w:right w:w="0" w:type="dxa"/>
                                </w:tblCellMar>
                              </w:tblPr>
                              <w:tblGrid>
                                <w:gridCol w:w="1990"/>
                                <w:gridCol w:w="1264"/>
                                <w:gridCol w:w="1485"/>
                                <w:gridCol w:w="1122"/>
                                <w:gridCol w:w="885"/>
                                <w:gridCol w:w="616"/>
                                <w:gridCol w:w="1138"/>
                                <w:gridCol w:w="1327"/>
                                <w:gridCol w:w="838"/>
                              </w:tblGrid>
                              <w:tr w14:paraId="5BD01A29">
                                <w:tblPrEx>
                                  <w:tblCellMar>
                                    <w:top w:w="0" w:type="dxa"/>
                                    <w:left w:w="0" w:type="dxa"/>
                                    <w:bottom w:w="0" w:type="dxa"/>
                                    <w:right w:w="0" w:type="dxa"/>
                                  </w:tblCellMar>
                                </w:tblPrEx>
                                <w:trPr>
                                  <w:trHeight w:val="376" w:hRule="atLeast"/>
                                </w:trPr>
                                <w:tc>
                                  <w:tcPr>
                                    <w:tcW w:w="1354"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47D7F1A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病毒</w:t>
                                    </w:r>
                                  </w:p>
                                </w:tc>
                                <w:tc>
                                  <w:tcPr>
                                    <w:tcW w:w="860"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0132DFB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科</w:t>
                                    </w:r>
                                  </w:p>
                                </w:tc>
                                <w:tc>
                                  <w:tcPr>
                                    <w:tcW w:w="1010"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58094B92">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属</w:t>
                                    </w:r>
                                  </w:p>
                                </w:tc>
                                <w:tc>
                                  <w:tcPr>
                                    <w:tcW w:w="763"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79E29B7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天然宿主</w:t>
                                    </w:r>
                                  </w:p>
                                </w:tc>
                                <w:tc>
                                  <w:tcPr>
                                    <w:tcW w:w="602"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0650742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基因组</w:t>
                                    </w:r>
                                  </w:p>
                                </w:tc>
                                <w:tc>
                                  <w:tcPr>
                                    <w:tcW w:w="419"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4375E3B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囊膜</w:t>
                                    </w:r>
                                  </w:p>
                                </w:tc>
                                <w:tc>
                                  <w:tcPr>
                                    <w:tcW w:w="774"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2A34245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大小(nm）</w:t>
                                    </w:r>
                                  </w:p>
                                </w:tc>
                                <w:tc>
                                  <w:tcPr>
                                    <w:tcW w:w="903"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7A0F84D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形状</w:t>
                                    </w:r>
                                  </w:p>
                                </w:tc>
                                <w:tc>
                                  <w:tcPr>
                                    <w:tcW w:w="570" w:type="dxa"/>
                                    <w:tcBorders>
                                      <w:top w:val="single" w:color="000000" w:sz="12" w:space="0"/>
                                      <w:left w:val="nil"/>
                                      <w:bottom w:val="single" w:color="000000" w:sz="12" w:space="0"/>
                                      <w:right w:val="nil"/>
                                    </w:tcBorders>
                                    <w:tcMar>
                                      <w:top w:w="0" w:type="dxa"/>
                                      <w:left w:w="28" w:type="dxa"/>
                                      <w:bottom w:w="0" w:type="dxa"/>
                                      <w:right w:w="28" w:type="dxa"/>
                                    </w:tcMar>
                                    <w:vAlign w:val="center"/>
                                  </w:tcPr>
                                  <w:p w14:paraId="71E6E5A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耐受性</w:t>
                                    </w:r>
                                  </w:p>
                                </w:tc>
                              </w:tr>
                              <w:tr w14:paraId="6BDCA4D6">
                                <w:tblPrEx>
                                  <w:tblCellMar>
                                    <w:top w:w="0" w:type="dxa"/>
                                    <w:left w:w="0" w:type="dxa"/>
                                    <w:bottom w:w="0" w:type="dxa"/>
                                    <w:right w:w="0" w:type="dxa"/>
                                  </w:tblCellMar>
                                </w:tblPrEx>
                                <w:trPr>
                                  <w:trHeight w:val="300" w:hRule="atLeast"/>
                                </w:trPr>
                                <w:tc>
                                  <w:tcPr>
                                    <w:tcW w:w="1354" w:type="dxa"/>
                                    <w:tcBorders>
                                      <w:top w:val="nil"/>
                                      <w:left w:val="nil"/>
                                      <w:bottom w:val="nil"/>
                                      <w:right w:val="nil"/>
                                    </w:tcBorders>
                                    <w:tcMar>
                                      <w:top w:w="0" w:type="dxa"/>
                                      <w:left w:w="28" w:type="dxa"/>
                                      <w:bottom w:w="0" w:type="dxa"/>
                                      <w:right w:w="28" w:type="dxa"/>
                                    </w:tcMar>
                                    <w:vAlign w:val="center"/>
                                  </w:tcPr>
                                  <w:p w14:paraId="378A57C5">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小囊状口腔炎病毒</w:t>
                                    </w:r>
                                  </w:p>
                                </w:tc>
                                <w:tc>
                                  <w:tcPr>
                                    <w:tcW w:w="860" w:type="dxa"/>
                                    <w:tcBorders>
                                      <w:top w:val="nil"/>
                                      <w:left w:val="nil"/>
                                      <w:bottom w:val="nil"/>
                                      <w:right w:val="nil"/>
                                    </w:tcBorders>
                                    <w:tcMar>
                                      <w:top w:w="0" w:type="dxa"/>
                                      <w:left w:w="28" w:type="dxa"/>
                                      <w:bottom w:w="0" w:type="dxa"/>
                                      <w:right w:w="28" w:type="dxa"/>
                                    </w:tcMar>
                                    <w:vAlign w:val="center"/>
                                  </w:tcPr>
                                  <w:p w14:paraId="7E4197E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弹状病毒</w:t>
                                    </w:r>
                                  </w:p>
                                </w:tc>
                                <w:tc>
                                  <w:tcPr>
                                    <w:tcW w:w="1010" w:type="dxa"/>
                                    <w:tcBorders>
                                      <w:top w:val="nil"/>
                                      <w:left w:val="nil"/>
                                      <w:bottom w:val="nil"/>
                                      <w:right w:val="nil"/>
                                    </w:tcBorders>
                                    <w:tcMar>
                                      <w:top w:w="0" w:type="dxa"/>
                                      <w:left w:w="28" w:type="dxa"/>
                                      <w:bottom w:w="0" w:type="dxa"/>
                                      <w:right w:w="28" w:type="dxa"/>
                                    </w:tcMar>
                                    <w:vAlign w:val="center"/>
                                  </w:tcPr>
                                  <w:p w14:paraId="3F123D7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水泡性病毒</w:t>
                                    </w:r>
                                  </w:p>
                                </w:tc>
                                <w:tc>
                                  <w:tcPr>
                                    <w:tcW w:w="763" w:type="dxa"/>
                                    <w:tcBorders>
                                      <w:top w:val="nil"/>
                                      <w:left w:val="nil"/>
                                      <w:bottom w:val="nil"/>
                                      <w:right w:val="nil"/>
                                    </w:tcBorders>
                                    <w:tcMar>
                                      <w:top w:w="0" w:type="dxa"/>
                                      <w:left w:w="28" w:type="dxa"/>
                                      <w:bottom w:w="0" w:type="dxa"/>
                                      <w:right w:w="28" w:type="dxa"/>
                                    </w:tcMar>
                                    <w:vAlign w:val="center"/>
                                  </w:tcPr>
                                  <w:p w14:paraId="2338BE83">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马牛</w:t>
                                    </w:r>
                                  </w:p>
                                </w:tc>
                                <w:tc>
                                  <w:tcPr>
                                    <w:tcW w:w="602" w:type="dxa"/>
                                    <w:tcBorders>
                                      <w:top w:val="nil"/>
                                      <w:left w:val="nil"/>
                                      <w:bottom w:val="nil"/>
                                      <w:right w:val="nil"/>
                                    </w:tcBorders>
                                    <w:tcMar>
                                      <w:top w:w="0" w:type="dxa"/>
                                      <w:left w:w="28" w:type="dxa"/>
                                      <w:bottom w:w="0" w:type="dxa"/>
                                      <w:right w:w="28" w:type="dxa"/>
                                    </w:tcMar>
                                    <w:vAlign w:val="center"/>
                                  </w:tcPr>
                                  <w:p w14:paraId="7614648B">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5C63183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tcPr>
                                  <w:p w14:paraId="07227EE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70×175</w:t>
                                    </w:r>
                                  </w:p>
                                </w:tc>
                                <w:tc>
                                  <w:tcPr>
                                    <w:tcW w:w="903" w:type="dxa"/>
                                    <w:tcBorders>
                                      <w:top w:val="nil"/>
                                      <w:left w:val="nil"/>
                                      <w:bottom w:val="nil"/>
                                      <w:right w:val="nil"/>
                                    </w:tcBorders>
                                    <w:tcMar>
                                      <w:top w:w="0" w:type="dxa"/>
                                      <w:left w:w="28" w:type="dxa"/>
                                      <w:bottom w:w="0" w:type="dxa"/>
                                      <w:right w:w="28" w:type="dxa"/>
                                    </w:tcMar>
                                    <w:vAlign w:val="center"/>
                                  </w:tcPr>
                                  <w:p w14:paraId="4EDBA8F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子弹状</w:t>
                                    </w:r>
                                  </w:p>
                                </w:tc>
                                <w:tc>
                                  <w:tcPr>
                                    <w:tcW w:w="570" w:type="dxa"/>
                                    <w:tcBorders>
                                      <w:top w:val="nil"/>
                                      <w:left w:val="nil"/>
                                      <w:bottom w:val="nil"/>
                                      <w:right w:val="nil"/>
                                    </w:tcBorders>
                                    <w:tcMar>
                                      <w:top w:w="0" w:type="dxa"/>
                                      <w:left w:w="28" w:type="dxa"/>
                                      <w:bottom w:w="0" w:type="dxa"/>
                                      <w:right w:w="28" w:type="dxa"/>
                                    </w:tcMar>
                                    <w:vAlign w:val="center"/>
                                  </w:tcPr>
                                  <w:p w14:paraId="6CE825D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低</w:t>
                                    </w:r>
                                  </w:p>
                                </w:tc>
                              </w:tr>
                              <w:tr w14:paraId="55CE6D8B">
                                <w:trPr>
                                  <w:trHeight w:val="630" w:hRule="atLeast"/>
                                </w:trPr>
                                <w:tc>
                                  <w:tcPr>
                                    <w:tcW w:w="1354" w:type="dxa"/>
                                    <w:tcBorders>
                                      <w:top w:val="nil"/>
                                      <w:left w:val="nil"/>
                                      <w:bottom w:val="nil"/>
                                      <w:right w:val="nil"/>
                                    </w:tcBorders>
                                    <w:tcMar>
                                      <w:top w:w="0" w:type="dxa"/>
                                      <w:left w:w="28" w:type="dxa"/>
                                      <w:bottom w:w="0" w:type="dxa"/>
                                      <w:right w:w="28" w:type="dxa"/>
                                    </w:tcMar>
                                    <w:vAlign w:val="center"/>
                                  </w:tcPr>
                                  <w:p w14:paraId="06DB644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副流感病毒</w:t>
                                    </w:r>
                                  </w:p>
                                </w:tc>
                                <w:tc>
                                  <w:tcPr>
                                    <w:tcW w:w="860" w:type="dxa"/>
                                    <w:tcBorders>
                                      <w:top w:val="nil"/>
                                      <w:left w:val="nil"/>
                                      <w:bottom w:val="nil"/>
                                      <w:right w:val="nil"/>
                                    </w:tcBorders>
                                    <w:tcMar>
                                      <w:top w:w="0" w:type="dxa"/>
                                      <w:left w:w="28" w:type="dxa"/>
                                      <w:bottom w:w="0" w:type="dxa"/>
                                      <w:right w:w="28" w:type="dxa"/>
                                    </w:tcMar>
                                    <w:vAlign w:val="center"/>
                                  </w:tcPr>
                                  <w:p w14:paraId="4F31AAC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副粘属</w:t>
                                    </w:r>
                                  </w:p>
                                </w:tc>
                                <w:tc>
                                  <w:tcPr>
                                    <w:tcW w:w="1010" w:type="dxa"/>
                                    <w:tcBorders>
                                      <w:top w:val="nil"/>
                                      <w:left w:val="nil"/>
                                      <w:bottom w:val="nil"/>
                                      <w:right w:val="nil"/>
                                    </w:tcBorders>
                                    <w:tcMar>
                                      <w:top w:w="0" w:type="dxa"/>
                                      <w:left w:w="28" w:type="dxa"/>
                                      <w:bottom w:w="0" w:type="dxa"/>
                                      <w:right w:w="28" w:type="dxa"/>
                                    </w:tcMar>
                                    <w:vAlign w:val="center"/>
                                  </w:tcPr>
                                  <w:p w14:paraId="5A7A9FC9">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副粘液病毒</w:t>
                                    </w:r>
                                  </w:p>
                                </w:tc>
                                <w:tc>
                                  <w:tcPr>
                                    <w:tcW w:w="763" w:type="dxa"/>
                                    <w:tcBorders>
                                      <w:top w:val="nil"/>
                                      <w:left w:val="nil"/>
                                      <w:bottom w:val="nil"/>
                                      <w:right w:val="nil"/>
                                    </w:tcBorders>
                                    <w:tcMar>
                                      <w:top w:w="0" w:type="dxa"/>
                                      <w:left w:w="28" w:type="dxa"/>
                                      <w:bottom w:w="0" w:type="dxa"/>
                                      <w:right w:w="28" w:type="dxa"/>
                                    </w:tcMar>
                                    <w:vAlign w:val="center"/>
                                  </w:tcPr>
                                  <w:p w14:paraId="69A7612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多种</w:t>
                                    </w:r>
                                  </w:p>
                                </w:tc>
                                <w:tc>
                                  <w:tcPr>
                                    <w:tcW w:w="602" w:type="dxa"/>
                                    <w:tcBorders>
                                      <w:top w:val="nil"/>
                                      <w:left w:val="nil"/>
                                      <w:bottom w:val="nil"/>
                                      <w:right w:val="nil"/>
                                    </w:tcBorders>
                                    <w:tcMar>
                                      <w:top w:w="0" w:type="dxa"/>
                                      <w:left w:w="28" w:type="dxa"/>
                                      <w:bottom w:w="0" w:type="dxa"/>
                                      <w:right w:w="28" w:type="dxa"/>
                                    </w:tcMar>
                                    <w:vAlign w:val="center"/>
                                  </w:tcPr>
                                  <w:p w14:paraId="671D7BF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410C6D2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tcPr>
                                  <w:p w14:paraId="5AA53D59">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100-200</w:t>
                                    </w:r>
                                  </w:p>
                                </w:tc>
                                <w:tc>
                                  <w:tcPr>
                                    <w:tcW w:w="903" w:type="dxa"/>
                                    <w:tcBorders>
                                      <w:top w:val="nil"/>
                                      <w:left w:val="nil"/>
                                      <w:bottom w:val="nil"/>
                                      <w:right w:val="nil"/>
                                    </w:tcBorders>
                                    <w:tcMar>
                                      <w:top w:w="0" w:type="dxa"/>
                                      <w:left w:w="28" w:type="dxa"/>
                                      <w:bottom w:w="0" w:type="dxa"/>
                                      <w:right w:w="28" w:type="dxa"/>
                                    </w:tcMar>
                                    <w:vAlign w:val="center"/>
                                  </w:tcPr>
                                  <w:p w14:paraId="404CA66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多面体/球形</w:t>
                                    </w:r>
                                  </w:p>
                                </w:tc>
                                <w:tc>
                                  <w:tcPr>
                                    <w:tcW w:w="570" w:type="dxa"/>
                                    <w:tcBorders>
                                      <w:top w:val="nil"/>
                                      <w:left w:val="nil"/>
                                      <w:bottom w:val="nil"/>
                                      <w:right w:val="nil"/>
                                    </w:tcBorders>
                                    <w:tcMar>
                                      <w:top w:w="0" w:type="dxa"/>
                                      <w:left w:w="28" w:type="dxa"/>
                                      <w:bottom w:w="0" w:type="dxa"/>
                                      <w:right w:w="28" w:type="dxa"/>
                                    </w:tcMar>
                                    <w:vAlign w:val="center"/>
                                  </w:tcPr>
                                  <w:p w14:paraId="069F810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低</w:t>
                                    </w:r>
                                  </w:p>
                                </w:tc>
                              </w:tr>
                              <w:tr w14:paraId="10A202E8">
                                <w:tblPrEx>
                                  <w:tblCellMar>
                                    <w:top w:w="0" w:type="dxa"/>
                                    <w:left w:w="0" w:type="dxa"/>
                                    <w:bottom w:w="0" w:type="dxa"/>
                                    <w:right w:w="0" w:type="dxa"/>
                                  </w:tblCellMar>
                                </w:tblPrEx>
                                <w:trPr>
                                  <w:trHeight w:val="630" w:hRule="atLeast"/>
                                </w:trPr>
                                <w:tc>
                                  <w:tcPr>
                                    <w:tcW w:w="1354" w:type="dxa"/>
                                    <w:tcBorders>
                                      <w:top w:val="nil"/>
                                      <w:left w:val="nil"/>
                                      <w:bottom w:val="nil"/>
                                      <w:right w:val="nil"/>
                                    </w:tcBorders>
                                    <w:tcMar>
                                      <w:top w:w="0" w:type="dxa"/>
                                      <w:left w:w="28" w:type="dxa"/>
                                      <w:bottom w:w="0" w:type="dxa"/>
                                      <w:right w:w="28" w:type="dxa"/>
                                    </w:tcMar>
                                    <w:vAlign w:val="center"/>
                                  </w:tcPr>
                                  <w:p w14:paraId="5745BD6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鼠白血病病毒（MulV）</w:t>
                                    </w:r>
                                  </w:p>
                                </w:tc>
                                <w:tc>
                                  <w:tcPr>
                                    <w:tcW w:w="860" w:type="dxa"/>
                                    <w:tcBorders>
                                      <w:top w:val="nil"/>
                                      <w:left w:val="nil"/>
                                      <w:bottom w:val="nil"/>
                                      <w:right w:val="nil"/>
                                    </w:tcBorders>
                                    <w:tcMar>
                                      <w:top w:w="0" w:type="dxa"/>
                                      <w:left w:w="28" w:type="dxa"/>
                                      <w:bottom w:w="0" w:type="dxa"/>
                                      <w:right w:w="28" w:type="dxa"/>
                                    </w:tcMar>
                                    <w:vAlign w:val="center"/>
                                  </w:tcPr>
                                  <w:p w14:paraId="5DBA957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逆转录</w:t>
                                    </w:r>
                                  </w:p>
                                </w:tc>
                                <w:tc>
                                  <w:tcPr>
                                    <w:tcW w:w="1010" w:type="dxa"/>
                                    <w:tcBorders>
                                      <w:top w:val="nil"/>
                                      <w:left w:val="nil"/>
                                      <w:bottom w:val="nil"/>
                                      <w:right w:val="nil"/>
                                    </w:tcBorders>
                                    <w:tcMar>
                                      <w:top w:w="0" w:type="dxa"/>
                                      <w:left w:w="28" w:type="dxa"/>
                                      <w:bottom w:w="0" w:type="dxa"/>
                                      <w:right w:w="28" w:type="dxa"/>
                                    </w:tcMar>
                                    <w:vAlign w:val="center"/>
                                  </w:tcPr>
                                  <w:p w14:paraId="1D342763">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C型肿瘤病毒</w:t>
                                    </w:r>
                                  </w:p>
                                </w:tc>
                                <w:tc>
                                  <w:tcPr>
                                    <w:tcW w:w="763" w:type="dxa"/>
                                    <w:tcBorders>
                                      <w:top w:val="nil"/>
                                      <w:left w:val="nil"/>
                                      <w:bottom w:val="nil"/>
                                      <w:right w:val="nil"/>
                                    </w:tcBorders>
                                    <w:tcMar>
                                      <w:top w:w="0" w:type="dxa"/>
                                      <w:left w:w="28" w:type="dxa"/>
                                      <w:bottom w:w="0" w:type="dxa"/>
                                      <w:right w:w="28" w:type="dxa"/>
                                    </w:tcMar>
                                    <w:vAlign w:val="center"/>
                                  </w:tcPr>
                                  <w:p w14:paraId="75A4568C">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小鼠</w:t>
                                    </w:r>
                                  </w:p>
                                </w:tc>
                                <w:tc>
                                  <w:tcPr>
                                    <w:tcW w:w="602" w:type="dxa"/>
                                    <w:tcBorders>
                                      <w:top w:val="nil"/>
                                      <w:left w:val="nil"/>
                                      <w:bottom w:val="nil"/>
                                      <w:right w:val="nil"/>
                                    </w:tcBorders>
                                    <w:tcMar>
                                      <w:top w:w="0" w:type="dxa"/>
                                      <w:left w:w="28" w:type="dxa"/>
                                      <w:bottom w:w="0" w:type="dxa"/>
                                      <w:right w:w="28" w:type="dxa"/>
                                    </w:tcMar>
                                    <w:vAlign w:val="center"/>
                                  </w:tcPr>
                                  <w:p w14:paraId="57D4253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7BFC798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tcPr>
                                  <w:p w14:paraId="5C57738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80-110</w:t>
                                    </w:r>
                                  </w:p>
                                </w:tc>
                                <w:tc>
                                  <w:tcPr>
                                    <w:tcW w:w="903" w:type="dxa"/>
                                    <w:tcBorders>
                                      <w:top w:val="nil"/>
                                      <w:left w:val="nil"/>
                                      <w:bottom w:val="nil"/>
                                      <w:right w:val="nil"/>
                                    </w:tcBorders>
                                    <w:tcMar>
                                      <w:top w:w="0" w:type="dxa"/>
                                      <w:left w:w="28" w:type="dxa"/>
                                      <w:bottom w:w="0" w:type="dxa"/>
                                      <w:right w:w="28" w:type="dxa"/>
                                    </w:tcMar>
                                    <w:vAlign w:val="center"/>
                                  </w:tcPr>
                                  <w:p w14:paraId="0B83F047">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tcPr>
                                  <w:p w14:paraId="2DAA7D5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低</w:t>
                                    </w:r>
                                  </w:p>
                                </w:tc>
                              </w:tr>
                              <w:tr w14:paraId="2E36FCBF">
                                <w:tblPrEx>
                                  <w:tblCellMar>
                                    <w:top w:w="0" w:type="dxa"/>
                                    <w:left w:w="0" w:type="dxa"/>
                                    <w:bottom w:w="0" w:type="dxa"/>
                                    <w:right w:w="0" w:type="dxa"/>
                                  </w:tblCellMar>
                                </w:tblPrEx>
                                <w:trPr>
                                  <w:trHeight w:val="300" w:hRule="atLeast"/>
                                </w:trPr>
                                <w:tc>
                                  <w:tcPr>
                                    <w:tcW w:w="1354" w:type="dxa"/>
                                    <w:tcBorders>
                                      <w:top w:val="nil"/>
                                      <w:left w:val="nil"/>
                                      <w:bottom w:val="nil"/>
                                      <w:right w:val="nil"/>
                                    </w:tcBorders>
                                    <w:tcMar>
                                      <w:top w:w="0" w:type="dxa"/>
                                      <w:left w:w="28" w:type="dxa"/>
                                      <w:bottom w:w="0" w:type="dxa"/>
                                      <w:right w:w="28" w:type="dxa"/>
                                    </w:tcMar>
                                    <w:vAlign w:val="center"/>
                                  </w:tcPr>
                                  <w:p w14:paraId="3E133C0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辛德比斯病毒</w:t>
                                    </w:r>
                                  </w:p>
                                </w:tc>
                                <w:tc>
                                  <w:tcPr>
                                    <w:tcW w:w="860" w:type="dxa"/>
                                    <w:tcBorders>
                                      <w:top w:val="nil"/>
                                      <w:left w:val="nil"/>
                                      <w:bottom w:val="nil"/>
                                      <w:right w:val="nil"/>
                                    </w:tcBorders>
                                    <w:tcMar>
                                      <w:top w:w="0" w:type="dxa"/>
                                      <w:left w:w="28" w:type="dxa"/>
                                      <w:bottom w:w="0" w:type="dxa"/>
                                      <w:right w:w="28" w:type="dxa"/>
                                    </w:tcMar>
                                    <w:vAlign w:val="center"/>
                                  </w:tcPr>
                                  <w:p w14:paraId="28203EBD">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外衣</w:t>
                                    </w:r>
                                  </w:p>
                                </w:tc>
                                <w:tc>
                                  <w:tcPr>
                                    <w:tcW w:w="1010" w:type="dxa"/>
                                    <w:tcBorders>
                                      <w:top w:val="nil"/>
                                      <w:left w:val="nil"/>
                                      <w:bottom w:val="nil"/>
                                      <w:right w:val="nil"/>
                                    </w:tcBorders>
                                    <w:tcMar>
                                      <w:top w:w="0" w:type="dxa"/>
                                      <w:left w:w="28" w:type="dxa"/>
                                      <w:bottom w:w="0" w:type="dxa"/>
                                      <w:right w:w="28" w:type="dxa"/>
                                    </w:tcMar>
                                    <w:vAlign w:val="center"/>
                                  </w:tcPr>
                                  <w:p w14:paraId="04FA7FED">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阿尔发病毒</w:t>
                                    </w:r>
                                  </w:p>
                                </w:tc>
                                <w:tc>
                                  <w:tcPr>
                                    <w:tcW w:w="763" w:type="dxa"/>
                                    <w:tcBorders>
                                      <w:top w:val="nil"/>
                                      <w:left w:val="nil"/>
                                      <w:bottom w:val="nil"/>
                                      <w:right w:val="nil"/>
                                    </w:tcBorders>
                                    <w:tcMar>
                                      <w:top w:w="0" w:type="dxa"/>
                                      <w:left w:w="28" w:type="dxa"/>
                                      <w:bottom w:w="0" w:type="dxa"/>
                                      <w:right w:w="28" w:type="dxa"/>
                                    </w:tcMar>
                                    <w:vAlign w:val="center"/>
                                  </w:tcPr>
                                  <w:p w14:paraId="72ACB5F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tcPr>
                                  <w:p w14:paraId="61F39A3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04FFAE5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tcPr>
                                  <w:p w14:paraId="4015FED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60－70</w:t>
                                    </w:r>
                                  </w:p>
                                </w:tc>
                                <w:tc>
                                  <w:tcPr>
                                    <w:tcW w:w="903" w:type="dxa"/>
                                    <w:tcBorders>
                                      <w:top w:val="nil"/>
                                      <w:left w:val="nil"/>
                                      <w:bottom w:val="nil"/>
                                      <w:right w:val="nil"/>
                                    </w:tcBorders>
                                    <w:tcMar>
                                      <w:top w:w="0" w:type="dxa"/>
                                      <w:left w:w="28" w:type="dxa"/>
                                      <w:bottom w:w="0" w:type="dxa"/>
                                      <w:right w:w="28" w:type="dxa"/>
                                    </w:tcMar>
                                    <w:vAlign w:val="center"/>
                                  </w:tcPr>
                                  <w:p w14:paraId="7005239B">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tcPr>
                                  <w:p w14:paraId="36F7214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低</w:t>
                                    </w:r>
                                  </w:p>
                                </w:tc>
                              </w:tr>
                              <w:tr w14:paraId="0DC0C2EF">
                                <w:tblPrEx>
                                  <w:tblCellMar>
                                    <w:top w:w="0" w:type="dxa"/>
                                    <w:left w:w="0" w:type="dxa"/>
                                    <w:bottom w:w="0" w:type="dxa"/>
                                    <w:right w:w="0" w:type="dxa"/>
                                  </w:tblCellMar>
                                </w:tblPrEx>
                                <w:trPr>
                                  <w:trHeight w:val="451" w:hRule="atLeast"/>
                                </w:trPr>
                                <w:tc>
                                  <w:tcPr>
                                    <w:tcW w:w="1354" w:type="dxa"/>
                                    <w:tcBorders>
                                      <w:top w:val="nil"/>
                                      <w:left w:val="nil"/>
                                      <w:bottom w:val="nil"/>
                                      <w:right w:val="nil"/>
                                    </w:tcBorders>
                                    <w:tcMar>
                                      <w:top w:w="0" w:type="dxa"/>
                                      <w:left w:w="28" w:type="dxa"/>
                                      <w:bottom w:w="0" w:type="dxa"/>
                                      <w:right w:w="28" w:type="dxa"/>
                                    </w:tcMar>
                                    <w:vAlign w:val="center"/>
                                  </w:tcPr>
                                  <w:p w14:paraId="17F00E0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牛滤过性腹泻病毒（BVDV）</w:t>
                                    </w:r>
                                  </w:p>
                                </w:tc>
                                <w:tc>
                                  <w:tcPr>
                                    <w:tcW w:w="860" w:type="dxa"/>
                                    <w:tcBorders>
                                      <w:top w:val="nil"/>
                                      <w:left w:val="nil"/>
                                      <w:bottom w:val="nil"/>
                                      <w:right w:val="nil"/>
                                    </w:tcBorders>
                                    <w:tcMar>
                                      <w:top w:w="0" w:type="dxa"/>
                                      <w:left w:w="28" w:type="dxa"/>
                                      <w:bottom w:w="0" w:type="dxa"/>
                                      <w:right w:w="28" w:type="dxa"/>
                                    </w:tcMar>
                                    <w:vAlign w:val="center"/>
                                  </w:tcPr>
                                  <w:p w14:paraId="26EA57E7">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黄热</w:t>
                                    </w:r>
                                  </w:p>
                                </w:tc>
                                <w:tc>
                                  <w:tcPr>
                                    <w:tcW w:w="1010" w:type="dxa"/>
                                    <w:tcBorders>
                                      <w:top w:val="nil"/>
                                      <w:left w:val="nil"/>
                                      <w:bottom w:val="nil"/>
                                      <w:right w:val="nil"/>
                                    </w:tcBorders>
                                    <w:tcMar>
                                      <w:top w:w="0" w:type="dxa"/>
                                      <w:left w:w="28" w:type="dxa"/>
                                      <w:bottom w:w="0" w:type="dxa"/>
                                      <w:right w:w="28" w:type="dxa"/>
                                    </w:tcMar>
                                    <w:vAlign w:val="center"/>
                                  </w:tcPr>
                                  <w:p w14:paraId="1137F77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疫瘟病毒</w:t>
                                    </w:r>
                                  </w:p>
                                </w:tc>
                                <w:tc>
                                  <w:tcPr>
                                    <w:tcW w:w="763" w:type="dxa"/>
                                    <w:tcBorders>
                                      <w:top w:val="nil"/>
                                      <w:left w:val="nil"/>
                                      <w:bottom w:val="nil"/>
                                      <w:right w:val="nil"/>
                                    </w:tcBorders>
                                    <w:tcMar>
                                      <w:top w:w="0" w:type="dxa"/>
                                      <w:left w:w="28" w:type="dxa"/>
                                      <w:bottom w:w="0" w:type="dxa"/>
                                      <w:right w:w="28" w:type="dxa"/>
                                    </w:tcMar>
                                    <w:vAlign w:val="center"/>
                                  </w:tcPr>
                                  <w:p w14:paraId="212520C5">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牛</w:t>
                                    </w:r>
                                  </w:p>
                                </w:tc>
                                <w:tc>
                                  <w:tcPr>
                                    <w:tcW w:w="602" w:type="dxa"/>
                                    <w:tcBorders>
                                      <w:top w:val="nil"/>
                                      <w:left w:val="nil"/>
                                      <w:bottom w:val="nil"/>
                                      <w:right w:val="nil"/>
                                    </w:tcBorders>
                                    <w:tcMar>
                                      <w:top w:w="0" w:type="dxa"/>
                                      <w:left w:w="28" w:type="dxa"/>
                                      <w:bottom w:w="0" w:type="dxa"/>
                                      <w:right w:w="28" w:type="dxa"/>
                                    </w:tcMar>
                                    <w:vAlign w:val="center"/>
                                  </w:tcPr>
                                  <w:p w14:paraId="75473B6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7AE4DCF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tcPr>
                                  <w:p w14:paraId="4E234FEC">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50－70</w:t>
                                    </w:r>
                                  </w:p>
                                </w:tc>
                                <w:tc>
                                  <w:tcPr>
                                    <w:tcW w:w="903" w:type="dxa"/>
                                    <w:tcBorders>
                                      <w:top w:val="nil"/>
                                      <w:left w:val="nil"/>
                                      <w:bottom w:val="nil"/>
                                      <w:right w:val="nil"/>
                                    </w:tcBorders>
                                    <w:tcMar>
                                      <w:top w:w="0" w:type="dxa"/>
                                      <w:left w:w="28" w:type="dxa"/>
                                      <w:bottom w:w="0" w:type="dxa"/>
                                      <w:right w:w="28" w:type="dxa"/>
                                    </w:tcMar>
                                    <w:vAlign w:val="center"/>
                                  </w:tcPr>
                                  <w:p w14:paraId="1C57E9C7">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多面体/球形</w:t>
                                    </w:r>
                                  </w:p>
                                </w:tc>
                                <w:tc>
                                  <w:tcPr>
                                    <w:tcW w:w="570" w:type="dxa"/>
                                    <w:tcBorders>
                                      <w:top w:val="nil"/>
                                      <w:left w:val="nil"/>
                                      <w:bottom w:val="nil"/>
                                      <w:right w:val="nil"/>
                                    </w:tcBorders>
                                    <w:tcMar>
                                      <w:top w:w="0" w:type="dxa"/>
                                      <w:left w:w="28" w:type="dxa"/>
                                      <w:bottom w:w="0" w:type="dxa"/>
                                      <w:right w:w="28" w:type="dxa"/>
                                    </w:tcMar>
                                    <w:vAlign w:val="center"/>
                                  </w:tcPr>
                                  <w:p w14:paraId="74C84A73">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低</w:t>
                                    </w:r>
                                  </w:p>
                                </w:tc>
                              </w:tr>
                              <w:tr w14:paraId="3F0E903C">
                                <w:tblPrEx>
                                  <w:tblCellMar>
                                    <w:top w:w="0" w:type="dxa"/>
                                    <w:left w:w="0" w:type="dxa"/>
                                    <w:bottom w:w="0" w:type="dxa"/>
                                    <w:right w:w="0" w:type="dxa"/>
                                  </w:tblCellMar>
                                </w:tblPrEx>
                                <w:trPr>
                                  <w:trHeight w:val="312" w:hRule="atLeast"/>
                                </w:trPr>
                                <w:tc>
                                  <w:tcPr>
                                    <w:tcW w:w="1354" w:type="dxa"/>
                                    <w:tcBorders>
                                      <w:top w:val="nil"/>
                                      <w:left w:val="nil"/>
                                      <w:bottom w:val="nil"/>
                                      <w:right w:val="nil"/>
                                    </w:tcBorders>
                                    <w:tcMar>
                                      <w:top w:w="0" w:type="dxa"/>
                                      <w:left w:w="28" w:type="dxa"/>
                                      <w:bottom w:w="0" w:type="dxa"/>
                                      <w:right w:w="28" w:type="dxa"/>
                                    </w:tcMar>
                                    <w:vAlign w:val="center"/>
                                  </w:tcPr>
                                  <w:p w14:paraId="0CEFF443">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伪狂犬病毒</w:t>
                                    </w:r>
                                  </w:p>
                                </w:tc>
                                <w:tc>
                                  <w:tcPr>
                                    <w:tcW w:w="860" w:type="dxa"/>
                                    <w:tcBorders>
                                      <w:top w:val="nil"/>
                                      <w:left w:val="nil"/>
                                      <w:bottom w:val="nil"/>
                                      <w:right w:val="nil"/>
                                    </w:tcBorders>
                                    <w:tcMar>
                                      <w:top w:w="0" w:type="dxa"/>
                                      <w:left w:w="28" w:type="dxa"/>
                                      <w:bottom w:w="0" w:type="dxa"/>
                                      <w:right w:w="28" w:type="dxa"/>
                                    </w:tcMar>
                                    <w:vAlign w:val="center"/>
                                  </w:tcPr>
                                  <w:p w14:paraId="385599F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疱疹病毒</w:t>
                                    </w:r>
                                  </w:p>
                                </w:tc>
                                <w:tc>
                                  <w:tcPr>
                                    <w:tcW w:w="1010" w:type="dxa"/>
                                    <w:tcBorders>
                                      <w:top w:val="nil"/>
                                      <w:left w:val="nil"/>
                                      <w:bottom w:val="nil"/>
                                      <w:right w:val="nil"/>
                                    </w:tcBorders>
                                    <w:tcMar>
                                      <w:top w:w="0" w:type="dxa"/>
                                      <w:left w:w="28" w:type="dxa"/>
                                      <w:bottom w:w="0" w:type="dxa"/>
                                      <w:right w:w="28" w:type="dxa"/>
                                    </w:tcMar>
                                    <w:vAlign w:val="center"/>
                                  </w:tcPr>
                                  <w:p w14:paraId="4AB023FC">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水痘病毒</w:t>
                                    </w:r>
                                  </w:p>
                                </w:tc>
                                <w:tc>
                                  <w:tcPr>
                                    <w:tcW w:w="763" w:type="dxa"/>
                                    <w:tcBorders>
                                      <w:top w:val="nil"/>
                                      <w:left w:val="nil"/>
                                      <w:bottom w:val="nil"/>
                                      <w:right w:val="nil"/>
                                    </w:tcBorders>
                                    <w:tcMar>
                                      <w:top w:w="0" w:type="dxa"/>
                                      <w:left w:w="28" w:type="dxa"/>
                                      <w:bottom w:w="0" w:type="dxa"/>
                                      <w:right w:w="28" w:type="dxa"/>
                                    </w:tcMar>
                                    <w:vAlign w:val="center"/>
                                  </w:tcPr>
                                  <w:p w14:paraId="58FF2219">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猪</w:t>
                                    </w:r>
                                  </w:p>
                                </w:tc>
                                <w:tc>
                                  <w:tcPr>
                                    <w:tcW w:w="602" w:type="dxa"/>
                                    <w:tcBorders>
                                      <w:top w:val="nil"/>
                                      <w:left w:val="nil"/>
                                      <w:bottom w:val="nil"/>
                                      <w:right w:val="nil"/>
                                    </w:tcBorders>
                                    <w:tcMar>
                                      <w:top w:w="0" w:type="dxa"/>
                                      <w:left w:w="28" w:type="dxa"/>
                                      <w:bottom w:w="0" w:type="dxa"/>
                                      <w:right w:w="28" w:type="dxa"/>
                                    </w:tcMar>
                                    <w:vAlign w:val="center"/>
                                  </w:tcPr>
                                  <w:p w14:paraId="1278C0E2">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DNA</w:t>
                                    </w:r>
                                  </w:p>
                                </w:tc>
                                <w:tc>
                                  <w:tcPr>
                                    <w:tcW w:w="419" w:type="dxa"/>
                                    <w:tcBorders>
                                      <w:top w:val="nil"/>
                                      <w:left w:val="nil"/>
                                      <w:bottom w:val="nil"/>
                                      <w:right w:val="nil"/>
                                    </w:tcBorders>
                                    <w:tcMar>
                                      <w:top w:w="0" w:type="dxa"/>
                                      <w:left w:w="28" w:type="dxa"/>
                                      <w:bottom w:w="0" w:type="dxa"/>
                                      <w:right w:w="28" w:type="dxa"/>
                                    </w:tcMar>
                                    <w:vAlign w:val="center"/>
                                  </w:tcPr>
                                  <w:p w14:paraId="29D3FEC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tcPr>
                                  <w:p w14:paraId="5C4BBCB5">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120-200</w:t>
                                    </w:r>
                                  </w:p>
                                </w:tc>
                                <w:tc>
                                  <w:tcPr>
                                    <w:tcW w:w="903" w:type="dxa"/>
                                    <w:tcBorders>
                                      <w:top w:val="nil"/>
                                      <w:left w:val="nil"/>
                                      <w:bottom w:val="nil"/>
                                      <w:right w:val="nil"/>
                                    </w:tcBorders>
                                    <w:tcMar>
                                      <w:top w:w="0" w:type="dxa"/>
                                      <w:left w:w="28" w:type="dxa"/>
                                      <w:bottom w:w="0" w:type="dxa"/>
                                      <w:right w:w="28" w:type="dxa"/>
                                    </w:tcMar>
                                    <w:vAlign w:val="center"/>
                                  </w:tcPr>
                                  <w:p w14:paraId="7621E603">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tcPr>
                                  <w:p w14:paraId="1AD8660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中</w:t>
                                    </w:r>
                                  </w:p>
                                </w:tc>
                              </w:tr>
                              <w:tr w14:paraId="45300A5D">
                                <w:tblPrEx>
                                  <w:tblCellMar>
                                    <w:top w:w="0" w:type="dxa"/>
                                    <w:left w:w="0" w:type="dxa"/>
                                    <w:bottom w:w="0" w:type="dxa"/>
                                    <w:right w:w="0" w:type="dxa"/>
                                  </w:tblCellMar>
                                </w:tblPrEx>
                                <w:trPr>
                                  <w:trHeight w:val="505" w:hRule="atLeast"/>
                                </w:trPr>
                                <w:tc>
                                  <w:tcPr>
                                    <w:tcW w:w="1354" w:type="dxa"/>
                                    <w:tcBorders>
                                      <w:top w:val="nil"/>
                                      <w:left w:val="nil"/>
                                      <w:bottom w:val="nil"/>
                                      <w:right w:val="nil"/>
                                    </w:tcBorders>
                                    <w:tcMar>
                                      <w:top w:w="0" w:type="dxa"/>
                                      <w:left w:w="28" w:type="dxa"/>
                                      <w:bottom w:w="0" w:type="dxa"/>
                                      <w:right w:w="28" w:type="dxa"/>
                                    </w:tcMar>
                                    <w:vAlign w:val="center"/>
                                  </w:tcPr>
                                  <w:p w14:paraId="4A36FEE4">
                                    <w:pPr>
                                      <w:widowControl/>
                                      <w:wordWrap w:val="0"/>
                                      <w:spacing w:before="100" w:beforeAutospacing="1" w:after="100" w:afterAutospacing="1" w:line="301"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脊髓灰质炎萨宾1型病毒</w:t>
                                    </w:r>
                                  </w:p>
                                </w:tc>
                                <w:tc>
                                  <w:tcPr>
                                    <w:tcW w:w="860" w:type="dxa"/>
                                    <w:tcBorders>
                                      <w:top w:val="nil"/>
                                      <w:left w:val="nil"/>
                                      <w:bottom w:val="nil"/>
                                      <w:right w:val="nil"/>
                                    </w:tcBorders>
                                    <w:tcMar>
                                      <w:top w:w="0" w:type="dxa"/>
                                      <w:left w:w="28" w:type="dxa"/>
                                      <w:bottom w:w="0" w:type="dxa"/>
                                      <w:right w:w="28" w:type="dxa"/>
                                    </w:tcMar>
                                    <w:vAlign w:val="center"/>
                                  </w:tcPr>
                                  <w:p w14:paraId="2BC35E8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微小RNA病毒</w:t>
                                    </w:r>
                                  </w:p>
                                </w:tc>
                                <w:tc>
                                  <w:tcPr>
                                    <w:tcW w:w="1010" w:type="dxa"/>
                                    <w:tcBorders>
                                      <w:top w:val="nil"/>
                                      <w:left w:val="nil"/>
                                      <w:bottom w:val="nil"/>
                                      <w:right w:val="nil"/>
                                    </w:tcBorders>
                                    <w:tcMar>
                                      <w:top w:w="0" w:type="dxa"/>
                                      <w:left w:w="28" w:type="dxa"/>
                                      <w:bottom w:w="0" w:type="dxa"/>
                                      <w:right w:w="28" w:type="dxa"/>
                                    </w:tcMar>
                                    <w:vAlign w:val="center"/>
                                  </w:tcPr>
                                  <w:p w14:paraId="0C9900F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肠道病毒</w:t>
                                    </w:r>
                                  </w:p>
                                </w:tc>
                                <w:tc>
                                  <w:tcPr>
                                    <w:tcW w:w="763" w:type="dxa"/>
                                    <w:tcBorders>
                                      <w:top w:val="nil"/>
                                      <w:left w:val="nil"/>
                                      <w:bottom w:val="nil"/>
                                      <w:right w:val="nil"/>
                                    </w:tcBorders>
                                    <w:tcMar>
                                      <w:top w:w="0" w:type="dxa"/>
                                      <w:left w:w="28" w:type="dxa"/>
                                      <w:bottom w:w="0" w:type="dxa"/>
                                      <w:right w:w="28" w:type="dxa"/>
                                    </w:tcMar>
                                    <w:vAlign w:val="center"/>
                                  </w:tcPr>
                                  <w:p w14:paraId="096A68AD">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tcPr>
                                  <w:p w14:paraId="2DCB00B7">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59740AB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tcPr>
                                  <w:p w14:paraId="2CE1F48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25-30</w:t>
                                    </w:r>
                                  </w:p>
                                </w:tc>
                                <w:tc>
                                  <w:tcPr>
                                    <w:tcW w:w="903" w:type="dxa"/>
                                    <w:tcBorders>
                                      <w:top w:val="nil"/>
                                      <w:left w:val="nil"/>
                                      <w:bottom w:val="nil"/>
                                      <w:right w:val="nil"/>
                                    </w:tcBorders>
                                    <w:tcMar>
                                      <w:top w:w="0" w:type="dxa"/>
                                      <w:left w:w="28" w:type="dxa"/>
                                      <w:bottom w:w="0" w:type="dxa"/>
                                      <w:right w:w="28" w:type="dxa"/>
                                    </w:tcMar>
                                    <w:vAlign w:val="center"/>
                                  </w:tcPr>
                                  <w:p w14:paraId="167A7D8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tcPr>
                                  <w:p w14:paraId="3E2039E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中</w:t>
                                    </w:r>
                                  </w:p>
                                </w:tc>
                              </w:tr>
                              <w:tr w14:paraId="17CD7AB1">
                                <w:tblPrEx>
                                  <w:tblCellMar>
                                    <w:top w:w="0" w:type="dxa"/>
                                    <w:left w:w="0" w:type="dxa"/>
                                    <w:bottom w:w="0" w:type="dxa"/>
                                    <w:right w:w="0" w:type="dxa"/>
                                  </w:tblCellMar>
                                </w:tblPrEx>
                                <w:trPr>
                                  <w:trHeight w:val="484" w:hRule="atLeast"/>
                                </w:trPr>
                                <w:tc>
                                  <w:tcPr>
                                    <w:tcW w:w="1354" w:type="dxa"/>
                                    <w:tcBorders>
                                      <w:top w:val="nil"/>
                                      <w:left w:val="nil"/>
                                      <w:bottom w:val="nil"/>
                                      <w:right w:val="nil"/>
                                    </w:tcBorders>
                                    <w:tcMar>
                                      <w:top w:w="0" w:type="dxa"/>
                                      <w:left w:w="28" w:type="dxa"/>
                                      <w:bottom w:w="0" w:type="dxa"/>
                                      <w:right w:w="28" w:type="dxa"/>
                                    </w:tcMar>
                                    <w:vAlign w:val="center"/>
                                  </w:tcPr>
                                  <w:p w14:paraId="6468C210">
                                    <w:pPr>
                                      <w:widowControl/>
                                      <w:wordWrap w:val="0"/>
                                      <w:spacing w:before="100" w:beforeAutospacing="1" w:after="100" w:afterAutospacing="1" w:line="301"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脑心肌炎病毒（EMC）</w:t>
                                    </w:r>
                                  </w:p>
                                </w:tc>
                                <w:tc>
                                  <w:tcPr>
                                    <w:tcW w:w="860" w:type="dxa"/>
                                    <w:tcBorders>
                                      <w:top w:val="nil"/>
                                      <w:left w:val="nil"/>
                                      <w:bottom w:val="nil"/>
                                      <w:right w:val="nil"/>
                                    </w:tcBorders>
                                    <w:tcMar>
                                      <w:top w:w="0" w:type="dxa"/>
                                      <w:left w:w="28" w:type="dxa"/>
                                      <w:bottom w:w="0" w:type="dxa"/>
                                      <w:right w:w="28" w:type="dxa"/>
                                    </w:tcMar>
                                    <w:vAlign w:val="center"/>
                                  </w:tcPr>
                                  <w:p w14:paraId="6784FE1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微小RNA病毒</w:t>
                                    </w:r>
                                  </w:p>
                                </w:tc>
                                <w:tc>
                                  <w:tcPr>
                                    <w:tcW w:w="1010" w:type="dxa"/>
                                    <w:tcBorders>
                                      <w:top w:val="nil"/>
                                      <w:left w:val="nil"/>
                                      <w:bottom w:val="nil"/>
                                      <w:right w:val="nil"/>
                                    </w:tcBorders>
                                    <w:tcMar>
                                      <w:top w:w="0" w:type="dxa"/>
                                      <w:left w:w="28" w:type="dxa"/>
                                      <w:bottom w:w="0" w:type="dxa"/>
                                      <w:right w:w="28" w:type="dxa"/>
                                    </w:tcMar>
                                    <w:vAlign w:val="center"/>
                                  </w:tcPr>
                                  <w:p w14:paraId="6353FF62">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心病毒</w:t>
                                    </w:r>
                                  </w:p>
                                </w:tc>
                                <w:tc>
                                  <w:tcPr>
                                    <w:tcW w:w="763" w:type="dxa"/>
                                    <w:tcBorders>
                                      <w:top w:val="nil"/>
                                      <w:left w:val="nil"/>
                                      <w:bottom w:val="nil"/>
                                      <w:right w:val="nil"/>
                                    </w:tcBorders>
                                    <w:tcMar>
                                      <w:top w:w="0" w:type="dxa"/>
                                      <w:left w:w="28" w:type="dxa"/>
                                      <w:bottom w:w="0" w:type="dxa"/>
                                      <w:right w:w="28" w:type="dxa"/>
                                    </w:tcMar>
                                    <w:vAlign w:val="center"/>
                                  </w:tcPr>
                                  <w:p w14:paraId="2B9B27E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小鼠</w:t>
                                    </w:r>
                                  </w:p>
                                </w:tc>
                                <w:tc>
                                  <w:tcPr>
                                    <w:tcW w:w="602" w:type="dxa"/>
                                    <w:tcBorders>
                                      <w:top w:val="nil"/>
                                      <w:left w:val="nil"/>
                                      <w:bottom w:val="nil"/>
                                      <w:right w:val="nil"/>
                                    </w:tcBorders>
                                    <w:tcMar>
                                      <w:top w:w="0" w:type="dxa"/>
                                      <w:left w:w="28" w:type="dxa"/>
                                      <w:bottom w:w="0" w:type="dxa"/>
                                      <w:right w:w="28" w:type="dxa"/>
                                    </w:tcMar>
                                    <w:vAlign w:val="center"/>
                                  </w:tcPr>
                                  <w:p w14:paraId="7DB03779">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2E9CD5CC">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tcPr>
                                  <w:p w14:paraId="510B904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25-30</w:t>
                                    </w:r>
                                  </w:p>
                                </w:tc>
                                <w:tc>
                                  <w:tcPr>
                                    <w:tcW w:w="903" w:type="dxa"/>
                                    <w:tcBorders>
                                      <w:top w:val="nil"/>
                                      <w:left w:val="nil"/>
                                      <w:bottom w:val="nil"/>
                                      <w:right w:val="nil"/>
                                    </w:tcBorders>
                                    <w:tcMar>
                                      <w:top w:w="0" w:type="dxa"/>
                                      <w:left w:w="28" w:type="dxa"/>
                                      <w:bottom w:w="0" w:type="dxa"/>
                                      <w:right w:w="28" w:type="dxa"/>
                                    </w:tcMar>
                                    <w:vAlign w:val="center"/>
                                  </w:tcPr>
                                  <w:p w14:paraId="1BA4D09C">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tcPr>
                                  <w:p w14:paraId="78A927DA">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中</w:t>
                                    </w:r>
                                  </w:p>
                                </w:tc>
                              </w:tr>
                              <w:tr w14:paraId="27610F69">
                                <w:tblPrEx>
                                  <w:tblCellMar>
                                    <w:top w:w="0" w:type="dxa"/>
                                    <w:left w:w="0" w:type="dxa"/>
                                    <w:bottom w:w="0" w:type="dxa"/>
                                    <w:right w:w="0" w:type="dxa"/>
                                  </w:tblCellMar>
                                </w:tblPrEx>
                                <w:trPr>
                                  <w:trHeight w:val="322" w:hRule="atLeast"/>
                                </w:trPr>
                                <w:tc>
                                  <w:tcPr>
                                    <w:tcW w:w="1354" w:type="dxa"/>
                                    <w:tcBorders>
                                      <w:top w:val="nil"/>
                                      <w:left w:val="nil"/>
                                      <w:bottom w:val="nil"/>
                                      <w:right w:val="nil"/>
                                    </w:tcBorders>
                                    <w:tcMar>
                                      <w:top w:w="0" w:type="dxa"/>
                                      <w:left w:w="28" w:type="dxa"/>
                                      <w:bottom w:w="0" w:type="dxa"/>
                                      <w:right w:w="28" w:type="dxa"/>
                                    </w:tcMar>
                                    <w:vAlign w:val="center"/>
                                  </w:tcPr>
                                  <w:p w14:paraId="3EBCE03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呼肠病毒3</w:t>
                                    </w:r>
                                  </w:p>
                                </w:tc>
                                <w:tc>
                                  <w:tcPr>
                                    <w:tcW w:w="860" w:type="dxa"/>
                                    <w:tcBorders>
                                      <w:top w:val="nil"/>
                                      <w:left w:val="nil"/>
                                      <w:bottom w:val="nil"/>
                                      <w:right w:val="nil"/>
                                    </w:tcBorders>
                                    <w:tcMar>
                                      <w:top w:w="0" w:type="dxa"/>
                                      <w:left w:w="28" w:type="dxa"/>
                                      <w:bottom w:w="0" w:type="dxa"/>
                                      <w:right w:w="28" w:type="dxa"/>
                                    </w:tcMar>
                                    <w:vAlign w:val="center"/>
                                  </w:tcPr>
                                  <w:p w14:paraId="21E00B8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呼肠</w:t>
                                    </w:r>
                                  </w:p>
                                </w:tc>
                                <w:tc>
                                  <w:tcPr>
                                    <w:tcW w:w="1010" w:type="dxa"/>
                                    <w:tcBorders>
                                      <w:top w:val="nil"/>
                                      <w:left w:val="nil"/>
                                      <w:bottom w:val="nil"/>
                                      <w:right w:val="nil"/>
                                    </w:tcBorders>
                                    <w:tcMar>
                                      <w:top w:w="0" w:type="dxa"/>
                                      <w:left w:w="28" w:type="dxa"/>
                                      <w:bottom w:w="0" w:type="dxa"/>
                                      <w:right w:w="28" w:type="dxa"/>
                                    </w:tcMar>
                                    <w:vAlign w:val="center"/>
                                  </w:tcPr>
                                  <w:p w14:paraId="7455C8DD">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正呼肠病毒</w:t>
                                    </w:r>
                                  </w:p>
                                </w:tc>
                                <w:tc>
                                  <w:tcPr>
                                    <w:tcW w:w="763" w:type="dxa"/>
                                    <w:tcBorders>
                                      <w:top w:val="nil"/>
                                      <w:left w:val="nil"/>
                                      <w:bottom w:val="nil"/>
                                      <w:right w:val="nil"/>
                                    </w:tcBorders>
                                    <w:tcMar>
                                      <w:top w:w="0" w:type="dxa"/>
                                      <w:left w:w="28" w:type="dxa"/>
                                      <w:bottom w:w="0" w:type="dxa"/>
                                      <w:right w:w="28" w:type="dxa"/>
                                    </w:tcMar>
                                    <w:vAlign w:val="center"/>
                                  </w:tcPr>
                                  <w:p w14:paraId="4397289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各种</w:t>
                                    </w:r>
                                  </w:p>
                                </w:tc>
                                <w:tc>
                                  <w:tcPr>
                                    <w:tcW w:w="602" w:type="dxa"/>
                                    <w:tcBorders>
                                      <w:top w:val="nil"/>
                                      <w:left w:val="nil"/>
                                      <w:bottom w:val="nil"/>
                                      <w:right w:val="nil"/>
                                    </w:tcBorders>
                                    <w:tcMar>
                                      <w:top w:w="0" w:type="dxa"/>
                                      <w:left w:w="28" w:type="dxa"/>
                                      <w:bottom w:w="0" w:type="dxa"/>
                                      <w:right w:w="28" w:type="dxa"/>
                                    </w:tcMar>
                                    <w:vAlign w:val="center"/>
                                  </w:tcPr>
                                  <w:p w14:paraId="12592C7B">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1259B0A7">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tcPr>
                                  <w:p w14:paraId="41D1442D">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60-80</w:t>
                                    </w:r>
                                  </w:p>
                                </w:tc>
                                <w:tc>
                                  <w:tcPr>
                                    <w:tcW w:w="903" w:type="dxa"/>
                                    <w:tcBorders>
                                      <w:top w:val="nil"/>
                                      <w:left w:val="nil"/>
                                      <w:bottom w:val="nil"/>
                                      <w:right w:val="nil"/>
                                    </w:tcBorders>
                                    <w:tcMar>
                                      <w:top w:w="0" w:type="dxa"/>
                                      <w:left w:w="28" w:type="dxa"/>
                                      <w:bottom w:w="0" w:type="dxa"/>
                                      <w:right w:w="28" w:type="dxa"/>
                                    </w:tcMar>
                                    <w:vAlign w:val="center"/>
                                  </w:tcPr>
                                  <w:p w14:paraId="78DF0BAC">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tcPr>
                                  <w:p w14:paraId="57CF215A">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中</w:t>
                                    </w:r>
                                  </w:p>
                                </w:tc>
                              </w:tr>
                              <w:tr w14:paraId="5AC838AA">
                                <w:tblPrEx>
                                  <w:tblCellMar>
                                    <w:top w:w="0" w:type="dxa"/>
                                    <w:left w:w="0" w:type="dxa"/>
                                    <w:bottom w:w="0" w:type="dxa"/>
                                    <w:right w:w="0" w:type="dxa"/>
                                  </w:tblCellMar>
                                </w:tblPrEx>
                                <w:trPr>
                                  <w:trHeight w:val="451" w:hRule="atLeast"/>
                                </w:trPr>
                                <w:tc>
                                  <w:tcPr>
                                    <w:tcW w:w="1354" w:type="dxa"/>
                                    <w:tcBorders>
                                      <w:top w:val="nil"/>
                                      <w:left w:val="nil"/>
                                      <w:bottom w:val="nil"/>
                                      <w:right w:val="nil"/>
                                    </w:tcBorders>
                                    <w:tcMar>
                                      <w:top w:w="0" w:type="dxa"/>
                                      <w:left w:w="28" w:type="dxa"/>
                                      <w:bottom w:w="0" w:type="dxa"/>
                                      <w:right w:w="28" w:type="dxa"/>
                                    </w:tcMar>
                                    <w:vAlign w:val="center"/>
                                  </w:tcPr>
                                  <w:p w14:paraId="029FD4A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SV40</w:t>
                                    </w:r>
                                  </w:p>
                                </w:tc>
                                <w:tc>
                                  <w:tcPr>
                                    <w:tcW w:w="860" w:type="dxa"/>
                                    <w:tcBorders>
                                      <w:top w:val="nil"/>
                                      <w:left w:val="nil"/>
                                      <w:bottom w:val="nil"/>
                                      <w:right w:val="nil"/>
                                    </w:tcBorders>
                                    <w:tcMar>
                                      <w:top w:w="0" w:type="dxa"/>
                                      <w:left w:w="28" w:type="dxa"/>
                                      <w:bottom w:w="0" w:type="dxa"/>
                                      <w:right w:w="28" w:type="dxa"/>
                                    </w:tcMar>
                                    <w:vAlign w:val="center"/>
                                  </w:tcPr>
                                  <w:p w14:paraId="54283F0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乳多孔</w:t>
                                    </w:r>
                                  </w:p>
                                </w:tc>
                                <w:tc>
                                  <w:tcPr>
                                    <w:tcW w:w="1010" w:type="dxa"/>
                                    <w:tcBorders>
                                      <w:top w:val="nil"/>
                                      <w:left w:val="nil"/>
                                      <w:bottom w:val="nil"/>
                                      <w:right w:val="nil"/>
                                    </w:tcBorders>
                                    <w:tcMar>
                                      <w:top w:w="0" w:type="dxa"/>
                                      <w:left w:w="28" w:type="dxa"/>
                                      <w:bottom w:w="0" w:type="dxa"/>
                                      <w:right w:w="28" w:type="dxa"/>
                                    </w:tcMar>
                                    <w:vAlign w:val="center"/>
                                  </w:tcPr>
                                  <w:p w14:paraId="27E7C8EC">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多瘤病毒</w:t>
                                    </w:r>
                                  </w:p>
                                </w:tc>
                                <w:tc>
                                  <w:tcPr>
                                    <w:tcW w:w="763" w:type="dxa"/>
                                    <w:tcBorders>
                                      <w:top w:val="nil"/>
                                      <w:left w:val="nil"/>
                                      <w:bottom w:val="nil"/>
                                      <w:right w:val="nil"/>
                                    </w:tcBorders>
                                    <w:tcMar>
                                      <w:top w:w="0" w:type="dxa"/>
                                      <w:left w:w="28" w:type="dxa"/>
                                      <w:bottom w:w="0" w:type="dxa"/>
                                      <w:right w:w="28" w:type="dxa"/>
                                    </w:tcMar>
                                    <w:vAlign w:val="center"/>
                                  </w:tcPr>
                                  <w:p w14:paraId="2BD4498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猴</w:t>
                                    </w:r>
                                  </w:p>
                                </w:tc>
                                <w:tc>
                                  <w:tcPr>
                                    <w:tcW w:w="602" w:type="dxa"/>
                                    <w:tcBorders>
                                      <w:top w:val="nil"/>
                                      <w:left w:val="nil"/>
                                      <w:bottom w:val="nil"/>
                                      <w:right w:val="nil"/>
                                    </w:tcBorders>
                                    <w:tcMar>
                                      <w:top w:w="0" w:type="dxa"/>
                                      <w:left w:w="28" w:type="dxa"/>
                                      <w:bottom w:w="0" w:type="dxa"/>
                                      <w:right w:w="28" w:type="dxa"/>
                                    </w:tcMar>
                                    <w:vAlign w:val="center"/>
                                  </w:tcPr>
                                  <w:p w14:paraId="767DF54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DNA</w:t>
                                    </w:r>
                                  </w:p>
                                </w:tc>
                                <w:tc>
                                  <w:tcPr>
                                    <w:tcW w:w="419" w:type="dxa"/>
                                    <w:tcBorders>
                                      <w:top w:val="nil"/>
                                      <w:left w:val="nil"/>
                                      <w:bottom w:val="nil"/>
                                      <w:right w:val="nil"/>
                                    </w:tcBorders>
                                    <w:tcMar>
                                      <w:top w:w="0" w:type="dxa"/>
                                      <w:left w:w="28" w:type="dxa"/>
                                      <w:bottom w:w="0" w:type="dxa"/>
                                      <w:right w:w="28" w:type="dxa"/>
                                    </w:tcMar>
                                    <w:vAlign w:val="center"/>
                                  </w:tcPr>
                                  <w:p w14:paraId="18C0B60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tcPr>
                                  <w:p w14:paraId="0F8A6E2D">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40-50</w:t>
                                    </w:r>
                                  </w:p>
                                </w:tc>
                                <w:tc>
                                  <w:tcPr>
                                    <w:tcW w:w="903" w:type="dxa"/>
                                    <w:tcBorders>
                                      <w:top w:val="nil"/>
                                      <w:left w:val="nil"/>
                                      <w:bottom w:val="nil"/>
                                      <w:right w:val="nil"/>
                                    </w:tcBorders>
                                    <w:tcMar>
                                      <w:top w:w="0" w:type="dxa"/>
                                      <w:left w:w="28" w:type="dxa"/>
                                      <w:bottom w:w="0" w:type="dxa"/>
                                      <w:right w:w="28" w:type="dxa"/>
                                    </w:tcMar>
                                    <w:vAlign w:val="center"/>
                                  </w:tcPr>
                                  <w:p w14:paraId="04A1F3A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tcPr>
                                  <w:p w14:paraId="4C2BB76B">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很高</w:t>
                                    </w:r>
                                  </w:p>
                                </w:tc>
                              </w:tr>
                              <w:tr w14:paraId="2BA7DB0C">
                                <w:tblPrEx>
                                  <w:tblCellMar>
                                    <w:top w:w="0" w:type="dxa"/>
                                    <w:left w:w="0" w:type="dxa"/>
                                    <w:bottom w:w="0" w:type="dxa"/>
                                    <w:right w:w="0" w:type="dxa"/>
                                  </w:tblCellMar>
                                </w:tblPrEx>
                                <w:trPr>
                                  <w:trHeight w:val="355" w:hRule="atLeast"/>
                                </w:trPr>
                                <w:tc>
                                  <w:tcPr>
                                    <w:tcW w:w="1354" w:type="dxa"/>
                                    <w:tcBorders>
                                      <w:top w:val="nil"/>
                                      <w:left w:val="nil"/>
                                      <w:bottom w:val="nil"/>
                                      <w:right w:val="nil"/>
                                    </w:tcBorders>
                                    <w:tcMar>
                                      <w:top w:w="0" w:type="dxa"/>
                                      <w:left w:w="28" w:type="dxa"/>
                                      <w:bottom w:w="0" w:type="dxa"/>
                                      <w:right w:w="28" w:type="dxa"/>
                                    </w:tcMar>
                                    <w:vAlign w:val="center"/>
                                  </w:tcPr>
                                  <w:p w14:paraId="4016C57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人类免疫缺陷病毒</w:t>
                                    </w:r>
                                  </w:p>
                                </w:tc>
                                <w:tc>
                                  <w:tcPr>
                                    <w:tcW w:w="860" w:type="dxa"/>
                                    <w:tcBorders>
                                      <w:top w:val="nil"/>
                                      <w:left w:val="nil"/>
                                      <w:bottom w:val="nil"/>
                                      <w:right w:val="nil"/>
                                    </w:tcBorders>
                                    <w:tcMar>
                                      <w:top w:w="0" w:type="dxa"/>
                                      <w:left w:w="28" w:type="dxa"/>
                                      <w:bottom w:w="0" w:type="dxa"/>
                                      <w:right w:w="28" w:type="dxa"/>
                                    </w:tcMar>
                                    <w:vAlign w:val="center"/>
                                  </w:tcPr>
                                  <w:p w14:paraId="6AEBE0E8">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逆转录</w:t>
                                    </w:r>
                                  </w:p>
                                </w:tc>
                                <w:tc>
                                  <w:tcPr>
                                    <w:tcW w:w="1010" w:type="dxa"/>
                                    <w:tcBorders>
                                      <w:top w:val="nil"/>
                                      <w:left w:val="nil"/>
                                      <w:bottom w:val="nil"/>
                                      <w:right w:val="nil"/>
                                    </w:tcBorders>
                                    <w:tcMar>
                                      <w:top w:w="0" w:type="dxa"/>
                                      <w:left w:w="28" w:type="dxa"/>
                                      <w:bottom w:w="0" w:type="dxa"/>
                                      <w:right w:w="28" w:type="dxa"/>
                                    </w:tcMar>
                                    <w:vAlign w:val="center"/>
                                  </w:tcPr>
                                  <w:p w14:paraId="6A9B23E2">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Lentivirus</w:t>
                                    </w:r>
                                  </w:p>
                                </w:tc>
                                <w:tc>
                                  <w:tcPr>
                                    <w:tcW w:w="763" w:type="dxa"/>
                                    <w:tcBorders>
                                      <w:top w:val="nil"/>
                                      <w:left w:val="nil"/>
                                      <w:bottom w:val="nil"/>
                                      <w:right w:val="nil"/>
                                    </w:tcBorders>
                                    <w:tcMar>
                                      <w:top w:w="0" w:type="dxa"/>
                                      <w:left w:w="28" w:type="dxa"/>
                                      <w:bottom w:w="0" w:type="dxa"/>
                                      <w:right w:w="28" w:type="dxa"/>
                                    </w:tcMar>
                                    <w:vAlign w:val="center"/>
                                  </w:tcPr>
                                  <w:p w14:paraId="7F3758A9">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tcPr>
                                  <w:p w14:paraId="450F7B8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0AE370F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有</w:t>
                                    </w:r>
                                  </w:p>
                                </w:tc>
                                <w:tc>
                                  <w:tcPr>
                                    <w:tcW w:w="774" w:type="dxa"/>
                                    <w:tcBorders>
                                      <w:top w:val="nil"/>
                                      <w:left w:val="nil"/>
                                      <w:bottom w:val="nil"/>
                                      <w:right w:val="nil"/>
                                    </w:tcBorders>
                                    <w:tcMar>
                                      <w:top w:w="0" w:type="dxa"/>
                                      <w:left w:w="28" w:type="dxa"/>
                                      <w:bottom w:w="0" w:type="dxa"/>
                                      <w:right w:w="28" w:type="dxa"/>
                                    </w:tcMar>
                                    <w:vAlign w:val="center"/>
                                  </w:tcPr>
                                  <w:p w14:paraId="39BC4575">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80-100</w:t>
                                    </w:r>
                                  </w:p>
                                </w:tc>
                                <w:tc>
                                  <w:tcPr>
                                    <w:tcW w:w="903" w:type="dxa"/>
                                    <w:tcBorders>
                                      <w:top w:val="nil"/>
                                      <w:left w:val="nil"/>
                                      <w:bottom w:val="nil"/>
                                      <w:right w:val="nil"/>
                                    </w:tcBorders>
                                    <w:tcMar>
                                      <w:top w:w="0" w:type="dxa"/>
                                      <w:left w:w="28" w:type="dxa"/>
                                      <w:bottom w:w="0" w:type="dxa"/>
                                      <w:right w:w="28" w:type="dxa"/>
                                    </w:tcMar>
                                    <w:vAlign w:val="center"/>
                                  </w:tcPr>
                                  <w:p w14:paraId="5CCBBD32">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球形</w:t>
                                    </w:r>
                                  </w:p>
                                </w:tc>
                                <w:tc>
                                  <w:tcPr>
                                    <w:tcW w:w="570" w:type="dxa"/>
                                    <w:tcBorders>
                                      <w:top w:val="nil"/>
                                      <w:left w:val="nil"/>
                                      <w:bottom w:val="nil"/>
                                      <w:right w:val="nil"/>
                                    </w:tcBorders>
                                    <w:tcMar>
                                      <w:top w:w="0" w:type="dxa"/>
                                      <w:left w:w="28" w:type="dxa"/>
                                      <w:bottom w:w="0" w:type="dxa"/>
                                      <w:right w:w="28" w:type="dxa"/>
                                    </w:tcMar>
                                    <w:vAlign w:val="center"/>
                                  </w:tcPr>
                                  <w:p w14:paraId="37D1E7C6">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低</w:t>
                                    </w:r>
                                  </w:p>
                                </w:tc>
                              </w:tr>
                              <w:tr w14:paraId="6F9BEDE9">
                                <w:tblPrEx>
                                  <w:tblCellMar>
                                    <w:top w:w="0" w:type="dxa"/>
                                    <w:left w:w="0" w:type="dxa"/>
                                    <w:bottom w:w="0" w:type="dxa"/>
                                    <w:right w:w="0" w:type="dxa"/>
                                  </w:tblCellMar>
                                </w:tblPrEx>
                                <w:trPr>
                                  <w:trHeight w:val="451" w:hRule="atLeast"/>
                                </w:trPr>
                                <w:tc>
                                  <w:tcPr>
                                    <w:tcW w:w="1354" w:type="dxa"/>
                                    <w:tcBorders>
                                      <w:top w:val="nil"/>
                                      <w:left w:val="nil"/>
                                      <w:bottom w:val="nil"/>
                                      <w:right w:val="nil"/>
                                    </w:tcBorders>
                                    <w:tcMar>
                                      <w:top w:w="0" w:type="dxa"/>
                                      <w:left w:w="28" w:type="dxa"/>
                                      <w:bottom w:w="0" w:type="dxa"/>
                                      <w:right w:w="28" w:type="dxa"/>
                                    </w:tcMar>
                                    <w:vAlign w:val="center"/>
                                  </w:tcPr>
                                  <w:p w14:paraId="6A627CC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甲型肝炎病毒</w:t>
                                    </w:r>
                                  </w:p>
                                </w:tc>
                                <w:tc>
                                  <w:tcPr>
                                    <w:tcW w:w="860" w:type="dxa"/>
                                    <w:tcBorders>
                                      <w:top w:val="nil"/>
                                      <w:left w:val="nil"/>
                                      <w:bottom w:val="nil"/>
                                      <w:right w:val="nil"/>
                                    </w:tcBorders>
                                    <w:tcMar>
                                      <w:top w:w="0" w:type="dxa"/>
                                      <w:left w:w="28" w:type="dxa"/>
                                      <w:bottom w:w="0" w:type="dxa"/>
                                      <w:right w:w="28" w:type="dxa"/>
                                    </w:tcMar>
                                    <w:vAlign w:val="center"/>
                                  </w:tcPr>
                                  <w:p w14:paraId="6CCE0839">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Picorna</w:t>
                                    </w:r>
                                  </w:p>
                                </w:tc>
                                <w:tc>
                                  <w:tcPr>
                                    <w:tcW w:w="1010" w:type="dxa"/>
                                    <w:tcBorders>
                                      <w:top w:val="nil"/>
                                      <w:left w:val="nil"/>
                                      <w:bottom w:val="nil"/>
                                      <w:right w:val="nil"/>
                                    </w:tcBorders>
                                    <w:tcMar>
                                      <w:top w:w="0" w:type="dxa"/>
                                      <w:left w:w="28" w:type="dxa"/>
                                      <w:bottom w:w="0" w:type="dxa"/>
                                      <w:right w:w="28" w:type="dxa"/>
                                    </w:tcMar>
                                    <w:vAlign w:val="center"/>
                                  </w:tcPr>
                                  <w:p w14:paraId="6F48714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肝病毒</w:t>
                                    </w:r>
                                  </w:p>
                                </w:tc>
                                <w:tc>
                                  <w:tcPr>
                                    <w:tcW w:w="763" w:type="dxa"/>
                                    <w:tcBorders>
                                      <w:top w:val="nil"/>
                                      <w:left w:val="nil"/>
                                      <w:bottom w:val="nil"/>
                                      <w:right w:val="nil"/>
                                    </w:tcBorders>
                                    <w:tcMar>
                                      <w:top w:w="0" w:type="dxa"/>
                                      <w:left w:w="28" w:type="dxa"/>
                                      <w:bottom w:w="0" w:type="dxa"/>
                                      <w:right w:w="28" w:type="dxa"/>
                                    </w:tcMar>
                                    <w:vAlign w:val="center"/>
                                  </w:tcPr>
                                  <w:p w14:paraId="7380CAD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人</w:t>
                                    </w:r>
                                  </w:p>
                                </w:tc>
                                <w:tc>
                                  <w:tcPr>
                                    <w:tcW w:w="602" w:type="dxa"/>
                                    <w:tcBorders>
                                      <w:top w:val="nil"/>
                                      <w:left w:val="nil"/>
                                      <w:bottom w:val="nil"/>
                                      <w:right w:val="nil"/>
                                    </w:tcBorders>
                                    <w:tcMar>
                                      <w:top w:w="0" w:type="dxa"/>
                                      <w:left w:w="28" w:type="dxa"/>
                                      <w:bottom w:w="0" w:type="dxa"/>
                                      <w:right w:w="28" w:type="dxa"/>
                                    </w:tcMar>
                                    <w:vAlign w:val="center"/>
                                  </w:tcPr>
                                  <w:p w14:paraId="0882100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RNA</w:t>
                                    </w:r>
                                  </w:p>
                                </w:tc>
                                <w:tc>
                                  <w:tcPr>
                                    <w:tcW w:w="419" w:type="dxa"/>
                                    <w:tcBorders>
                                      <w:top w:val="nil"/>
                                      <w:left w:val="nil"/>
                                      <w:bottom w:val="nil"/>
                                      <w:right w:val="nil"/>
                                    </w:tcBorders>
                                    <w:tcMar>
                                      <w:top w:w="0" w:type="dxa"/>
                                      <w:left w:w="28" w:type="dxa"/>
                                      <w:bottom w:w="0" w:type="dxa"/>
                                      <w:right w:w="28" w:type="dxa"/>
                                    </w:tcMar>
                                    <w:vAlign w:val="center"/>
                                  </w:tcPr>
                                  <w:p w14:paraId="5DE4ED4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无</w:t>
                                    </w:r>
                                  </w:p>
                                </w:tc>
                                <w:tc>
                                  <w:tcPr>
                                    <w:tcW w:w="774" w:type="dxa"/>
                                    <w:tcBorders>
                                      <w:top w:val="nil"/>
                                      <w:left w:val="nil"/>
                                      <w:bottom w:val="nil"/>
                                      <w:right w:val="nil"/>
                                    </w:tcBorders>
                                    <w:tcMar>
                                      <w:top w:w="0" w:type="dxa"/>
                                      <w:left w:w="28" w:type="dxa"/>
                                      <w:bottom w:w="0" w:type="dxa"/>
                                      <w:right w:w="28" w:type="dxa"/>
                                    </w:tcMar>
                                    <w:vAlign w:val="center"/>
                                  </w:tcPr>
                                  <w:p w14:paraId="5D64AC0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25-30</w:t>
                                    </w:r>
                                  </w:p>
                                </w:tc>
                                <w:tc>
                                  <w:tcPr>
                                    <w:tcW w:w="903" w:type="dxa"/>
                                    <w:tcBorders>
                                      <w:top w:val="nil"/>
                                      <w:left w:val="nil"/>
                                      <w:bottom w:val="nil"/>
                                      <w:right w:val="nil"/>
                                    </w:tcBorders>
                                    <w:tcMar>
                                      <w:top w:w="0" w:type="dxa"/>
                                      <w:left w:w="28" w:type="dxa"/>
                                      <w:bottom w:w="0" w:type="dxa"/>
                                      <w:right w:w="28" w:type="dxa"/>
                                    </w:tcMar>
                                    <w:vAlign w:val="center"/>
                                  </w:tcPr>
                                  <w:p w14:paraId="6402DE71">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二十面体</w:t>
                                    </w:r>
                                  </w:p>
                                </w:tc>
                                <w:tc>
                                  <w:tcPr>
                                    <w:tcW w:w="570" w:type="dxa"/>
                                    <w:tcBorders>
                                      <w:top w:val="nil"/>
                                      <w:left w:val="nil"/>
                                      <w:bottom w:val="nil"/>
                                      <w:right w:val="nil"/>
                                    </w:tcBorders>
                                    <w:tcMar>
                                      <w:top w:w="0" w:type="dxa"/>
                                      <w:left w:w="28" w:type="dxa"/>
                                      <w:bottom w:w="0" w:type="dxa"/>
                                      <w:right w:w="28" w:type="dxa"/>
                                    </w:tcMar>
                                    <w:vAlign w:val="center"/>
                                  </w:tcPr>
                                  <w:p w14:paraId="7E0403E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高</w:t>
                                    </w:r>
                                  </w:p>
                                </w:tc>
                              </w:tr>
                              <w:tr w14:paraId="5F218D7B">
                                <w:tblPrEx>
                                  <w:tblCellMar>
                                    <w:top w:w="0" w:type="dxa"/>
                                    <w:left w:w="0" w:type="dxa"/>
                                    <w:bottom w:w="0" w:type="dxa"/>
                                    <w:right w:w="0" w:type="dxa"/>
                                  </w:tblCellMar>
                                </w:tblPrEx>
                                <w:trPr>
                                  <w:trHeight w:val="473" w:hRule="atLeast"/>
                                </w:trPr>
                                <w:tc>
                                  <w:tcPr>
                                    <w:tcW w:w="1354" w:type="dxa"/>
                                    <w:tcBorders>
                                      <w:top w:val="nil"/>
                                      <w:left w:val="nil"/>
                                      <w:bottom w:val="single" w:color="000000" w:sz="12" w:space="0"/>
                                      <w:right w:val="nil"/>
                                    </w:tcBorders>
                                    <w:tcMar>
                                      <w:top w:w="0" w:type="dxa"/>
                                      <w:left w:w="28" w:type="dxa"/>
                                      <w:bottom w:w="0" w:type="dxa"/>
                                      <w:right w:w="28" w:type="dxa"/>
                                    </w:tcMar>
                                    <w:vAlign w:val="center"/>
                                  </w:tcPr>
                                  <w:p w14:paraId="3EFCC8F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细小病毒(犬、猪)</w:t>
                                    </w:r>
                                  </w:p>
                                </w:tc>
                                <w:tc>
                                  <w:tcPr>
                                    <w:tcW w:w="860" w:type="dxa"/>
                                    <w:tcBorders>
                                      <w:top w:val="nil"/>
                                      <w:left w:val="nil"/>
                                      <w:bottom w:val="single" w:color="000000" w:sz="12" w:space="0"/>
                                      <w:right w:val="nil"/>
                                    </w:tcBorders>
                                    <w:tcMar>
                                      <w:top w:w="0" w:type="dxa"/>
                                      <w:left w:w="28" w:type="dxa"/>
                                      <w:bottom w:w="0" w:type="dxa"/>
                                      <w:right w:w="28" w:type="dxa"/>
                                    </w:tcMar>
                                    <w:vAlign w:val="center"/>
                                  </w:tcPr>
                                  <w:p w14:paraId="1E1A7932">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细小</w:t>
                                    </w:r>
                                  </w:p>
                                </w:tc>
                                <w:tc>
                                  <w:tcPr>
                                    <w:tcW w:w="1010" w:type="dxa"/>
                                    <w:tcBorders>
                                      <w:top w:val="nil"/>
                                      <w:left w:val="nil"/>
                                      <w:bottom w:val="single" w:color="000000" w:sz="12" w:space="0"/>
                                      <w:right w:val="nil"/>
                                    </w:tcBorders>
                                    <w:tcMar>
                                      <w:top w:w="0" w:type="dxa"/>
                                      <w:left w:w="28" w:type="dxa"/>
                                      <w:bottom w:w="0" w:type="dxa"/>
                                      <w:right w:w="28" w:type="dxa"/>
                                    </w:tcMar>
                                    <w:vAlign w:val="center"/>
                                  </w:tcPr>
                                  <w:p w14:paraId="09320E72">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细小病毒</w:t>
                                    </w:r>
                                  </w:p>
                                </w:tc>
                                <w:tc>
                                  <w:tcPr>
                                    <w:tcW w:w="763" w:type="dxa"/>
                                    <w:tcBorders>
                                      <w:top w:val="nil"/>
                                      <w:left w:val="nil"/>
                                      <w:bottom w:val="single" w:color="000000" w:sz="12" w:space="0"/>
                                      <w:right w:val="nil"/>
                                    </w:tcBorders>
                                    <w:tcMar>
                                      <w:top w:w="0" w:type="dxa"/>
                                      <w:left w:w="28" w:type="dxa"/>
                                      <w:bottom w:w="0" w:type="dxa"/>
                                      <w:right w:w="28" w:type="dxa"/>
                                    </w:tcMar>
                                    <w:vAlign w:val="center"/>
                                  </w:tcPr>
                                  <w:p w14:paraId="2CA1393F">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犬猪</w:t>
                                    </w:r>
                                  </w:p>
                                </w:tc>
                                <w:tc>
                                  <w:tcPr>
                                    <w:tcW w:w="602" w:type="dxa"/>
                                    <w:tcBorders>
                                      <w:top w:val="nil"/>
                                      <w:left w:val="nil"/>
                                      <w:bottom w:val="single" w:color="000000" w:sz="12" w:space="0"/>
                                      <w:right w:val="nil"/>
                                    </w:tcBorders>
                                    <w:tcMar>
                                      <w:top w:w="0" w:type="dxa"/>
                                      <w:left w:w="28" w:type="dxa"/>
                                      <w:bottom w:w="0" w:type="dxa"/>
                                      <w:right w:w="28" w:type="dxa"/>
                                    </w:tcMar>
                                    <w:vAlign w:val="center"/>
                                  </w:tcPr>
                                  <w:p w14:paraId="2647DD89">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DNA</w:t>
                                    </w:r>
                                  </w:p>
                                </w:tc>
                                <w:tc>
                                  <w:tcPr>
                                    <w:tcW w:w="419" w:type="dxa"/>
                                    <w:tcBorders>
                                      <w:top w:val="nil"/>
                                      <w:left w:val="nil"/>
                                      <w:bottom w:val="single" w:color="000000" w:sz="12" w:space="0"/>
                                      <w:right w:val="nil"/>
                                    </w:tcBorders>
                                    <w:tcMar>
                                      <w:top w:w="0" w:type="dxa"/>
                                      <w:left w:w="28" w:type="dxa"/>
                                      <w:bottom w:w="0" w:type="dxa"/>
                                      <w:right w:w="28" w:type="dxa"/>
                                    </w:tcMar>
                                    <w:vAlign w:val="center"/>
                                  </w:tcPr>
                                  <w:p w14:paraId="6FA353F3">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无</w:t>
                                    </w:r>
                                  </w:p>
                                </w:tc>
                                <w:tc>
                                  <w:tcPr>
                                    <w:tcW w:w="774" w:type="dxa"/>
                                    <w:tcBorders>
                                      <w:top w:val="nil"/>
                                      <w:left w:val="nil"/>
                                      <w:bottom w:val="single" w:color="000000" w:sz="12" w:space="0"/>
                                      <w:right w:val="nil"/>
                                    </w:tcBorders>
                                    <w:tcMar>
                                      <w:top w:w="0" w:type="dxa"/>
                                      <w:left w:w="28" w:type="dxa"/>
                                      <w:bottom w:w="0" w:type="dxa"/>
                                      <w:right w:w="28" w:type="dxa"/>
                                    </w:tcMar>
                                    <w:vAlign w:val="center"/>
                                  </w:tcPr>
                                  <w:p w14:paraId="26C5404E">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18-24</w:t>
                                    </w:r>
                                  </w:p>
                                </w:tc>
                                <w:tc>
                                  <w:tcPr>
                                    <w:tcW w:w="903" w:type="dxa"/>
                                    <w:tcBorders>
                                      <w:top w:val="nil"/>
                                      <w:left w:val="nil"/>
                                      <w:bottom w:val="single" w:color="000000" w:sz="12" w:space="0"/>
                                      <w:right w:val="nil"/>
                                    </w:tcBorders>
                                    <w:tcMar>
                                      <w:top w:w="0" w:type="dxa"/>
                                      <w:left w:w="28" w:type="dxa"/>
                                      <w:bottom w:w="0" w:type="dxa"/>
                                      <w:right w:w="28" w:type="dxa"/>
                                    </w:tcMar>
                                    <w:vAlign w:val="center"/>
                                  </w:tcPr>
                                  <w:p w14:paraId="17278F80">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二十面体</w:t>
                                    </w:r>
                                  </w:p>
                                </w:tc>
                                <w:tc>
                                  <w:tcPr>
                                    <w:tcW w:w="570" w:type="dxa"/>
                                    <w:tcBorders>
                                      <w:top w:val="nil"/>
                                      <w:left w:val="nil"/>
                                      <w:bottom w:val="single" w:color="000000" w:sz="12" w:space="0"/>
                                      <w:right w:val="nil"/>
                                    </w:tcBorders>
                                    <w:tcMar>
                                      <w:top w:w="0" w:type="dxa"/>
                                      <w:left w:w="28" w:type="dxa"/>
                                      <w:bottom w:w="0" w:type="dxa"/>
                                      <w:right w:w="28" w:type="dxa"/>
                                    </w:tcMar>
                                    <w:vAlign w:val="center"/>
                                  </w:tcPr>
                                  <w:p w14:paraId="46C93A14">
                                    <w:pPr>
                                      <w:widowControl/>
                                      <w:wordWrap w:val="0"/>
                                      <w:spacing w:before="100" w:beforeAutospacing="1" w:after="100" w:afterAutospacing="1" w:line="226" w:lineRule="atLeast"/>
                                      <w:jc w:val="center"/>
                                      <w:rPr>
                                        <w:rFonts w:ascii="宋体" w:hAnsi="宋体" w:eastAsia="宋体" w:cs="宋体"/>
                                        <w:color w:val="000000"/>
                                        <w:kern w:val="0"/>
                                        <w:sz w:val="15"/>
                                        <w:szCs w:val="15"/>
                                      </w:rPr>
                                    </w:pPr>
                                    <w:r>
                                      <w:rPr>
                                        <w:rFonts w:hint="eastAsia" w:ascii="仿宋_GB2312" w:hAnsi="宋体" w:eastAsia="仿宋_GB2312" w:cs="宋体"/>
                                        <w:color w:val="000000"/>
                                        <w:kern w:val="0"/>
                                        <w:sz w:val="22"/>
                                      </w:rPr>
                                      <w:t>很高</w:t>
                                    </w:r>
                                  </w:p>
                                </w:tc>
                              </w:tr>
                            </w:tbl>
                            <w:p w14:paraId="4A7C72A8">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2．效果的判定</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验证的目的是为了确定生产工艺去除/灭活病毒的能力，获得生产全过程中估计去除/灭活病毒的总量。如果制品的生产工艺中包含了两步或两步以上病毒去除/灭活步骤，应分别进行病毒灭活效果验证。一般降低的总量是各步降低病毒量的总和。但是由于病毒验证的局限性，如分步骤中病毒降低量≤1 log则不应将其计算在总量中。原则上病毒降低量（log10）≥4 logs表示该工艺去除/灭活病毒有效。如因检测方法造成病毒降低量＜4 logs时，应盲传三代，如无病毒检出,才可认定是有效的病毒灭活工艺。</w:t>
                              </w:r>
                            </w:p>
                            <w:p w14:paraId="5515CB32">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3．关于朊蛋白</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由于目前尚无朊蛋白（如疯牛病因子）的指示病毒/因子，而且对去除朊蛋白的工艺还很难验证，因此对牛、羊源性材料制品的安全性还主要是对源头进行控制。基于目前对朊蛋白灭活工艺验证的认知程度，对于牛、羊源性医疗器械，可以接受按照本节第1、2条规定的原则所进行的病毒灭活有效性验证资料。随着对朊蛋白研究水平的不断提高，相应的要求也将随时调整。</w:t>
                              </w:r>
                            </w:p>
                            <w:p w14:paraId="67C55801">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四、其他需要注意的问题</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一）对于由无脊椎动物的组织及其衍生物或天然获取的物质（如壳聚糖、蚕丝、蜂蜡等）制成的医疗器械，也应参照此指导原则。对于一些可能不直接适用的条款，申报者/制造商应进行相应说明，阐述不适用的理由。</w:t>
                              </w:r>
                            </w:p>
                            <w:p w14:paraId="3D86C4F0">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二）利用具有药品注册证的动物源性药品作为医疗器械的原料投入生产的，可提供药品生产企业的相关资质证明文件（如药品生产许可证、药品注册证、GMP证书等），若能证明已经达到了以上提到的对动物源性医疗器械的要求，则可不提交相应的资料。</w:t>
                              </w:r>
                            </w:p>
                            <w:p w14:paraId="5AE867A5">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三）对于某些组成成分中不含动物组织或其衍生物，但在生产过程中使用或接触了本指导原则所包括的动物源性材料的医疗器械（如在采用微生物发酵法制备透明质酸钠的过程中使用了含动物源成分的培养基），原则上也应提交相应的风险分析和控制措施（若附有国外官方具体的证明性文件，应提交原件或公证件），以及相关的验证数据或资料，并提供所使用的原料可用于生产医疗器械的证明资料。</w:t>
                              </w:r>
                            </w:p>
                            <w:p w14:paraId="54F01D1A">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（四）对于通常情况下不用于医疗器械方面的动物种类应提供该物种适合用于人体使用的相关研究资料。</w:t>
                              </w:r>
                            </w:p>
                            <w:p w14:paraId="31ED5727">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（五）对于ISO 22442-1:2007附录C中提到的动物油脂衍生物、兽炭和氨基酸，若证明其处理过程符合ISO 22442-1:2007 附录C，则可不提交其处理过程的病毒灭活有效性验证试验资料，但其他部分资料仍应符合相关法规和本指导原则的要求。</w:t>
                              </w:r>
                            </w:p>
                            <w:p w14:paraId="5ACDF139">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五、名词解释</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动物：任何脊椎或无脊椎动物［包括两栖动物、节肢动物（如甲壳纲动物）、鸟、珊瑚、鱼、爬行动物、软体动物和哺乳动物］，不包括人（智人）。</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无生命的：无新陈代谢或者繁殖功能的。</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衍生物：通过制造工艺从动物材料中获得的物质。例如：透明质酸、胶原、明胶、单克隆抗体、壳聚糖、白蛋白。</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组织性质：指所取材动物组织的健康状况。</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传染性病原体：未被分类的病原体、朊蛋白以及类似的实体，如疯牛病因子、羊痒病因子等。</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去除：使病毒和传染性病原体的数量减少的过程。</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灭活：降低病毒和/或传染性病原体引起感染或者致病反应的能力的过程。</w:t>
                              </w:r>
                            </w:p>
                            <w:p w14:paraId="18A0D691">
                              <w:pPr>
                                <w:widowControl/>
                                <w:wordWrap w:val="0"/>
                                <w:spacing w:before="100" w:beforeAutospacing="1" w:after="100" w:afterAutospacing="1" w:line="301" w:lineRule="atLeast"/>
                                <w:jc w:val="left"/>
                                <w:rPr>
                                  <w:rFonts w:ascii="宋体" w:hAnsi="宋体" w:eastAsia="宋体" w:cs="宋体"/>
                                  <w:color w:val="000000"/>
                                  <w:kern w:val="0"/>
                                  <w:sz w:val="15"/>
                                  <w:szCs w:val="15"/>
                                </w:rPr>
                              </w:pPr>
                              <w:r>
                                <w:rPr>
                                  <w:rFonts w:ascii="宋体" w:hAnsi="宋体" w:eastAsia="宋体" w:cs="宋体"/>
                                  <w:color w:val="000000"/>
                                  <w:kern w:val="0"/>
                                  <w:sz w:val="15"/>
                                  <w:szCs w:val="15"/>
                                </w:rPr>
                                <w:t>　　六、参考文献</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1．ISO 22442-1:2007, Medical devices utilizing animal tissues and their derivatives</w:t>
                              </w:r>
                              <w:r>
                                <w:rPr>
                                  <w:rFonts w:ascii="宋体" w:hAnsi="宋体" w:eastAsia="宋体" w:cs="宋体"/>
                                  <w:color w:val="000000"/>
                                  <w:kern w:val="0"/>
                                  <w:sz w:val="15"/>
                                  <w:szCs w:val="15"/>
                                </w:rPr>
                                <w:br w:type="textWrapping"/>
                              </w:r>
                              <w:r>
                                <w:rPr>
                                  <w:rFonts w:ascii="宋体" w:hAnsi="宋体" w:eastAsia="宋体" w:cs="宋体"/>
                                  <w:color w:val="000000"/>
                                  <w:kern w:val="0"/>
                                  <w:sz w:val="15"/>
                                  <w:szCs w:val="15"/>
                                </w:rPr>
                                <w:t>　　2．《</w:t>
                              </w:r>
                              <w:r>
                                <w:fldChar w:fldCharType="begin"/>
                              </w:r>
                              <w:r>
                                <w:instrText xml:space="preserve"> HYPERLINK "http://www.sda.gov.cn/WS01/CL0058/9330.html" \t "_blank" </w:instrText>
                              </w:r>
                              <w:r>
                                <w:fldChar w:fldCharType="separate"/>
                              </w:r>
                              <w:r>
                                <w:rPr>
                                  <w:rFonts w:ascii="宋体" w:hAnsi="宋体" w:eastAsia="宋体" w:cs="宋体"/>
                                  <w:color w:val="0000FF"/>
                                  <w:kern w:val="0"/>
                                  <w:sz w:val="15"/>
                                </w:rPr>
                                <w:t>血液制品去除/灭活病毒技术方法及验证指导原则</w:t>
                              </w:r>
                              <w:r>
                                <w:rPr>
                                  <w:rFonts w:ascii="宋体" w:hAnsi="宋体" w:eastAsia="宋体" w:cs="宋体"/>
                                  <w:color w:val="0000FF"/>
                                  <w:kern w:val="0"/>
                                  <w:sz w:val="15"/>
                                </w:rPr>
                                <w:fldChar w:fldCharType="end"/>
                              </w:r>
                              <w:r>
                                <w:rPr>
                                  <w:rFonts w:ascii="宋体" w:hAnsi="宋体" w:eastAsia="宋体" w:cs="宋体"/>
                                  <w:color w:val="000000"/>
                                  <w:kern w:val="0"/>
                                  <w:sz w:val="15"/>
                                  <w:szCs w:val="15"/>
                                </w:rPr>
                                <w:t>》（国药监注〔2002〕160号），2002.5</w:t>
                              </w:r>
                            </w:p>
                          </w:tc>
                        </w:tr>
                      </w:tbl>
                      <w:p w14:paraId="455478D0">
                        <w:pPr>
                          <w:widowControl/>
                          <w:jc w:val="left"/>
                          <w:rPr>
                            <w:rFonts w:ascii="宋体" w:hAnsi="宋体" w:eastAsia="宋体" w:cs="宋体"/>
                            <w:color w:val="000000"/>
                            <w:kern w:val="0"/>
                            <w:sz w:val="15"/>
                            <w:szCs w:val="15"/>
                          </w:rPr>
                        </w:pPr>
                      </w:p>
                    </w:tc>
                  </w:tr>
                </w:tbl>
                <w:p w14:paraId="7EA9252B">
                  <w:pPr>
                    <w:widowControl/>
                    <w:jc w:val="left"/>
                    <w:rPr>
                      <w:rFonts w:ascii="宋体" w:hAnsi="宋体" w:eastAsia="宋体" w:cs="宋体"/>
                      <w:kern w:val="0"/>
                      <w:sz w:val="18"/>
                      <w:szCs w:val="18"/>
                    </w:rPr>
                  </w:pPr>
                </w:p>
              </w:tc>
            </w:tr>
          </w:tbl>
          <w:p w14:paraId="2A08749A">
            <w:pPr>
              <w:widowControl/>
              <w:jc w:val="left"/>
              <w:rPr>
                <w:rFonts w:ascii="宋体" w:hAnsi="宋体" w:eastAsia="宋体" w:cs="宋体"/>
                <w:color w:val="000000"/>
                <w:kern w:val="0"/>
                <w:sz w:val="15"/>
                <w:szCs w:val="15"/>
              </w:rPr>
            </w:pPr>
          </w:p>
        </w:tc>
      </w:tr>
    </w:tbl>
    <w:p w14:paraId="16B3BAA4">
      <w:pPr>
        <w:rPr>
          <w:rFonts w:hint="eastAsia"/>
        </w:rPr>
      </w:pPr>
    </w:p>
    <w:p w14:paraId="15B32CA6">
      <w:pPr>
        <w:widowControl/>
        <w:wordWrap w:val="0"/>
        <w:spacing w:before="100" w:beforeAutospacing="1" w:after="100" w:afterAutospacing="1" w:line="600" w:lineRule="exact"/>
        <w:jc w:val="center"/>
        <w:rPr>
          <w:rFonts w:hint="eastAsia" w:eastAsia="宋体"/>
          <w:lang w:eastAsia="zh-CN"/>
        </w:rPr>
      </w:pPr>
    </w:p>
    <w:p w14:paraId="420F2740">
      <w:pPr>
        <w:widowControl/>
        <w:wordWrap w:val="0"/>
        <w:spacing w:before="100" w:beforeAutospacing="1" w:after="100" w:afterAutospacing="1" w:line="600" w:lineRule="exact"/>
        <w:jc w:val="center"/>
        <w:rPr>
          <w:rFonts w:hint="eastAsia" w:eastAsia="宋体"/>
          <w:lang w:eastAsia="zh-CN"/>
        </w:rPr>
      </w:pPr>
    </w:p>
    <w:p w14:paraId="02500332">
      <w:pPr>
        <w:widowControl/>
        <w:wordWrap w:val="0"/>
        <w:spacing w:before="100" w:beforeAutospacing="1" w:after="100" w:afterAutospacing="1"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0149291-7553-403B-82DA-2256ED2D50A9}"/>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22C540F4-A5C4-4DF9-8B95-E375AD287F1C}"/>
  </w:font>
  <w:font w:name="仿宋_GB2312">
    <w:altName w:val="仿宋"/>
    <w:panose1 w:val="02010609030101010101"/>
    <w:charset w:val="86"/>
    <w:family w:val="modern"/>
    <w:pitch w:val="default"/>
    <w:sig w:usb0="00000000" w:usb1="00000000" w:usb2="00000010" w:usb3="00000000" w:csb0="00040000" w:csb1="00000000"/>
    <w:embedRegular r:id="rId3" w:fontKey="{E326D414-B1C6-4E97-A58A-C0C69868975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3D4A"/>
    <w:rsid w:val="00123E13"/>
    <w:rsid w:val="00283E48"/>
    <w:rsid w:val="003F08CD"/>
    <w:rsid w:val="00613D4A"/>
    <w:rsid w:val="00697F87"/>
    <w:rsid w:val="00D50537"/>
    <w:rsid w:val="19FF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widowControl/>
      <w:spacing w:after="100" w:line="276" w:lineRule="auto"/>
      <w:ind w:left="440"/>
      <w:jc w:val="left"/>
    </w:pPr>
    <w:rPr>
      <w:kern w:val="0"/>
      <w:sz w:val="22"/>
    </w:rPr>
  </w:style>
  <w:style w:type="paragraph" w:styleId="6">
    <w:name w:val="toc 1"/>
    <w:basedOn w:val="1"/>
    <w:next w:val="1"/>
    <w:autoRedefine/>
    <w:unhideWhenUsed/>
    <w:qFormat/>
    <w:uiPriority w:val="39"/>
    <w:pPr>
      <w:widowControl/>
      <w:spacing w:after="100" w:line="276" w:lineRule="auto"/>
      <w:jc w:val="left"/>
    </w:pPr>
    <w:rPr>
      <w:kern w:val="0"/>
      <w:sz w:val="22"/>
    </w:rPr>
  </w:style>
  <w:style w:type="paragraph" w:styleId="7">
    <w:name w:val="toc 2"/>
    <w:basedOn w:val="1"/>
    <w:next w:val="1"/>
    <w:autoRedefine/>
    <w:unhideWhenUsed/>
    <w:qFormat/>
    <w:uiPriority w:val="39"/>
    <w:pPr>
      <w:widowControl/>
      <w:spacing w:after="100" w:line="276" w:lineRule="auto"/>
      <w:ind w:left="220"/>
      <w:jc w:val="left"/>
    </w:pPr>
    <w:rPr>
      <w:kern w:val="0"/>
      <w:sz w:val="2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semiHidden/>
    <w:unhideWhenUsed/>
    <w:qFormat/>
    <w:uiPriority w:val="99"/>
    <w:rPr>
      <w:color w:val="0000FF"/>
      <w:u w:val="single"/>
    </w:rPr>
  </w:style>
  <w:style w:type="character" w:customStyle="1" w:styleId="12">
    <w:name w:val="标题 1 Char"/>
    <w:basedOn w:val="10"/>
    <w:link w:val="2"/>
    <w:uiPriority w:val="9"/>
    <w:rPr>
      <w:b/>
      <w:bCs/>
      <w:kern w:val="44"/>
      <w:sz w:val="44"/>
      <w:szCs w:val="44"/>
    </w:rPr>
  </w:style>
  <w:style w:type="character" w:customStyle="1" w:styleId="13">
    <w:name w:val="标题 2 Char"/>
    <w:basedOn w:val="10"/>
    <w:link w:val="3"/>
    <w:uiPriority w:val="9"/>
    <w:rPr>
      <w:rFonts w:asciiTheme="majorHAnsi" w:hAnsiTheme="majorHAnsi" w:eastAsiaTheme="majorEastAsia" w:cstheme="majorBidi"/>
      <w:b/>
      <w:bCs/>
      <w:sz w:val="32"/>
      <w:szCs w:val="32"/>
    </w:rPr>
  </w:style>
  <w:style w:type="character" w:customStyle="1" w:styleId="14">
    <w:name w:val="标题 3 Char"/>
    <w:basedOn w:val="10"/>
    <w:link w:val="4"/>
    <w:uiPriority w:val="9"/>
    <w:rPr>
      <w:b/>
      <w:bCs/>
      <w:sz w:val="32"/>
      <w:szCs w:val="32"/>
    </w:rPr>
  </w:style>
  <w:style w:type="paragraph" w:customStyle="1" w:styleId="1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
    <w:name w:val="apple-converted-space"/>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12630</Words>
  <Characters>13001</Characters>
  <Lines>102</Lines>
  <Paragraphs>28</Paragraphs>
  <TotalTime>1</TotalTime>
  <ScaleCrop>false</ScaleCrop>
  <LinksUpToDate>false</LinksUpToDate>
  <CharactersWithSpaces>13577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2017-07-03T07:33:00Z</dcterms:created>
  <dc:creator>HYL</dc:creator>
  <cp:lastModifiedBy>太极箫客</cp:lastModifiedBy>
  <dcterms:modified xsi:type="dcterms:W3CDTF">2025-08-14T06:57:15Z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A799C6040B6140E29F6FCB26C157C03D_12</vt:lpwstr>
  </property>
</Properties>
</file>